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0" w:rsidRDefault="000075E0">
      <w:pPr>
        <w:pStyle w:val="ConsPlusTitlePage"/>
      </w:pPr>
      <w:r>
        <w:br/>
      </w:r>
    </w:p>
    <w:p w:rsidR="000075E0" w:rsidRDefault="000075E0">
      <w:pPr>
        <w:pStyle w:val="ConsPlusNormal"/>
        <w:jc w:val="both"/>
        <w:outlineLvl w:val="0"/>
      </w:pPr>
    </w:p>
    <w:p w:rsidR="000075E0" w:rsidRDefault="000075E0">
      <w:pPr>
        <w:pStyle w:val="ConsPlusNormal"/>
        <w:outlineLvl w:val="0"/>
      </w:pPr>
      <w:r>
        <w:t>Зарегистрировано в Минюсте России 4 марта 2016 г. N 41317</w:t>
      </w:r>
    </w:p>
    <w:p w:rsidR="000075E0" w:rsidRDefault="000075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075E0" w:rsidRDefault="000075E0">
      <w:pPr>
        <w:pStyle w:val="ConsPlusTitle"/>
        <w:jc w:val="center"/>
      </w:pPr>
      <w:r>
        <w:t>ОБОРОНЫ, ЧРЕЗВЫЧАЙНЫМ СИТУАЦИЯМ И ЛИКВИДАЦИИ</w:t>
      </w:r>
    </w:p>
    <w:p w:rsidR="000075E0" w:rsidRDefault="000075E0">
      <w:pPr>
        <w:pStyle w:val="ConsPlusTitle"/>
        <w:jc w:val="center"/>
      </w:pPr>
      <w:r>
        <w:t>ПОСЛЕДСТВИЙ СТИХИЙНЫХ БЕДСТВИЙ</w:t>
      </w:r>
    </w:p>
    <w:p w:rsidR="000075E0" w:rsidRDefault="000075E0">
      <w:pPr>
        <w:pStyle w:val="ConsPlusTitle"/>
        <w:jc w:val="center"/>
      </w:pPr>
    </w:p>
    <w:p w:rsidR="000075E0" w:rsidRDefault="000075E0">
      <w:pPr>
        <w:pStyle w:val="ConsPlusTitle"/>
        <w:jc w:val="center"/>
      </w:pPr>
      <w:r>
        <w:t>ПРИКАЗ</w:t>
      </w:r>
    </w:p>
    <w:p w:rsidR="000075E0" w:rsidRDefault="000075E0">
      <w:pPr>
        <w:pStyle w:val="ConsPlusTitle"/>
        <w:jc w:val="center"/>
      </w:pPr>
      <w:r>
        <w:t>от 26 января 2016 г. N 26</w:t>
      </w:r>
    </w:p>
    <w:p w:rsidR="000075E0" w:rsidRDefault="000075E0">
      <w:pPr>
        <w:pStyle w:val="ConsPlusTitle"/>
        <w:jc w:val="center"/>
      </w:pPr>
    </w:p>
    <w:p w:rsidR="000075E0" w:rsidRDefault="000075E0">
      <w:pPr>
        <w:pStyle w:val="ConsPlusTitle"/>
        <w:jc w:val="center"/>
      </w:pPr>
      <w:r>
        <w:t>ОБ УТВЕРЖДЕНИИ ПОРЯДКА</w:t>
      </w:r>
    </w:p>
    <w:p w:rsidR="000075E0" w:rsidRDefault="000075E0">
      <w:pPr>
        <w:pStyle w:val="ConsPlusTitle"/>
        <w:jc w:val="center"/>
      </w:pPr>
      <w:r>
        <w:t>ИСПОЛЬЗОВАНИЯ ОТКРЫТОГО ОГНЯ И РАЗВЕДЕНИЯ КОСТРОВ НА ЗЕМЛЯХ</w:t>
      </w:r>
    </w:p>
    <w:p w:rsidR="000075E0" w:rsidRDefault="000075E0">
      <w:pPr>
        <w:pStyle w:val="ConsPlusTitle"/>
        <w:jc w:val="center"/>
      </w:pPr>
      <w:r>
        <w:t xml:space="preserve">СЕЛЬСКОХОЗЯЙСТВЕННОГО НАЗНАЧЕНИЯ И </w:t>
      </w:r>
      <w:proofErr w:type="gramStart"/>
      <w:r>
        <w:t>ЗЕМЛЯХ</w:t>
      </w:r>
      <w:proofErr w:type="gramEnd"/>
      <w:r>
        <w:t xml:space="preserve"> ЗАПАСА</w:t>
      </w: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218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г. N 390 &lt;1&gt;, приказываю: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19, ст. 2415; 2015, N 46, ст. 6397.</w:t>
      </w: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использования открытого огня и разведения костров на землях сельскохозяйственного назначения и землях запаса.</w:t>
      </w: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jc w:val="right"/>
      </w:pPr>
      <w:r>
        <w:t>Министр</w:t>
      </w:r>
    </w:p>
    <w:p w:rsidR="000075E0" w:rsidRDefault="000075E0">
      <w:pPr>
        <w:pStyle w:val="ConsPlusNormal"/>
        <w:jc w:val="right"/>
      </w:pPr>
      <w:r>
        <w:t>В.А.ПУЧКОВ</w:t>
      </w: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jc w:val="right"/>
        <w:outlineLvl w:val="0"/>
      </w:pPr>
      <w:r>
        <w:t>Приложение</w:t>
      </w:r>
    </w:p>
    <w:p w:rsidR="000075E0" w:rsidRDefault="000075E0">
      <w:pPr>
        <w:pStyle w:val="ConsPlusNormal"/>
        <w:jc w:val="right"/>
      </w:pPr>
      <w:r>
        <w:t>к приказу МЧС России</w:t>
      </w:r>
    </w:p>
    <w:p w:rsidR="000075E0" w:rsidRDefault="000075E0">
      <w:pPr>
        <w:pStyle w:val="ConsPlusNormal"/>
        <w:jc w:val="right"/>
      </w:pPr>
      <w:r>
        <w:t>от 26.01.2016 N 26</w:t>
      </w: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Title"/>
        <w:jc w:val="center"/>
      </w:pPr>
      <w:bookmarkStart w:id="0" w:name="P32"/>
      <w:bookmarkEnd w:id="0"/>
      <w:r>
        <w:t>ПОРЯДОК</w:t>
      </w:r>
    </w:p>
    <w:p w:rsidR="000075E0" w:rsidRDefault="000075E0">
      <w:pPr>
        <w:pStyle w:val="ConsPlusTitle"/>
        <w:jc w:val="center"/>
      </w:pPr>
      <w:r>
        <w:t>ИСПОЛЬЗОВАНИЯ ОТКРЫТОГО ОГНЯ И РАЗВЕДЕНИЯ КОСТРОВ НА ЗЕМЛЯХ</w:t>
      </w:r>
    </w:p>
    <w:p w:rsidR="000075E0" w:rsidRDefault="000075E0">
      <w:pPr>
        <w:pStyle w:val="ConsPlusTitle"/>
        <w:jc w:val="center"/>
      </w:pPr>
      <w:r>
        <w:t xml:space="preserve">СЕЛЬСКОХОЗЯЙСТВЕННОГО НАЗНАЧЕНИЯ И </w:t>
      </w:r>
      <w:proofErr w:type="gramStart"/>
      <w:r>
        <w:t>ЗЕМЛЯХ</w:t>
      </w:r>
      <w:proofErr w:type="gramEnd"/>
      <w:r>
        <w:t xml:space="preserve"> ЗАПАСА</w:t>
      </w: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ind w:firstLine="540"/>
        <w:jc w:val="both"/>
      </w:pPr>
      <w: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0075E0" w:rsidRDefault="000075E0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075E0" w:rsidRDefault="000075E0">
      <w:pPr>
        <w:pStyle w:val="ConsPlusNormal"/>
        <w:spacing w:before="220"/>
        <w:ind w:firstLine="540"/>
        <w:jc w:val="both"/>
      </w:pPr>
      <w:proofErr w:type="gramStart"/>
      <w: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</w:t>
      </w:r>
      <w:r>
        <w:lastRenderedPageBreak/>
        <w:t>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t xml:space="preserve"> более 1 куб. метра;</w:t>
      </w:r>
    </w:p>
    <w:p w:rsidR="000075E0" w:rsidRDefault="000075E0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075E0" w:rsidRDefault="000075E0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0" w:history="1">
        <w:r>
          <w:rPr>
            <w:color w:val="0000FF"/>
          </w:rPr>
          <w:t>"в" пункта 2</w:t>
        </w:r>
      </w:hyperlink>
      <w: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0075E0" w:rsidRDefault="000075E0">
      <w:pPr>
        <w:pStyle w:val="ConsPlusNormal"/>
        <w:spacing w:before="220"/>
        <w:ind w:firstLine="540"/>
        <w:jc w:val="both"/>
      </w:pPr>
      <w: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69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 xml:space="preserve">7. При увеличении диаметра зоны очага горения должны быть выполнены требования </w:t>
      </w:r>
      <w:hyperlink w:anchor="P37" w:history="1">
        <w:r>
          <w:rPr>
            <w:color w:val="0000FF"/>
          </w:rPr>
          <w:t>пункта 2</w:t>
        </w:r>
      </w:hyperlink>
      <w:r>
        <w:t xml:space="preserve"> настоящего Порядка. </w:t>
      </w:r>
      <w:proofErr w:type="gramStart"/>
      <w:r>
        <w:t xml:space="preserve">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5" w:history="1">
        <w:r>
          <w:rPr>
            <w:color w:val="0000FF"/>
          </w:rPr>
          <w:t>Нормами</w:t>
        </w:r>
      </w:hyperlink>
      <w: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 &lt;*&gt;.</w:t>
      </w:r>
      <w:proofErr w:type="gramEnd"/>
    </w:p>
    <w:p w:rsidR="000075E0" w:rsidRDefault="000075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75E0" w:rsidRDefault="000075E0">
      <w:pPr>
        <w:pStyle w:val="ConsPlusNormal"/>
        <w:spacing w:before="220"/>
        <w:ind w:firstLine="540"/>
        <w:jc w:val="both"/>
      </w:pPr>
      <w:proofErr w:type="gramStart"/>
      <w:r>
        <w:t>&lt;*&gt; С изменениями, внесенными приказами МЧС России от 27.01.2009 (зарегистрирован Минюстом России 25.02.2009, регистрационный N 13429) и от 22.06.2010 N 289 (зарегистрирован</w:t>
      </w:r>
      <w:proofErr w:type="gramEnd"/>
      <w:r>
        <w:t xml:space="preserve"> </w:t>
      </w:r>
      <w:proofErr w:type="gramStart"/>
      <w:r>
        <w:t>Минюстом России 16.07.2010, регистрационный N 17880).</w:t>
      </w:r>
      <w:proofErr w:type="gramEnd"/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ind w:firstLine="540"/>
        <w:jc w:val="both"/>
      </w:pPr>
      <w: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 очаговой зоны.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9. Использование открытого огня запрещается: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на торфяных почвах;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при установлении на соответствующей территории особого противопожарного режима;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под кронами деревьев хвойных пород;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в емкости, стенки которой имеют огненный сквозной прогар;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при скорости ветра, превышающей значение 10 метров в секунду.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10. В процессе использования открытого огня запрещается: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оставлять место очага горения без присмотра до полного прекращения горения (тления);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располагать легковоспламеняющиеся и горючие жидкости, а также горючие материалы вблизи очага горения.</w:t>
      </w:r>
    </w:p>
    <w:p w:rsidR="000075E0" w:rsidRDefault="000075E0">
      <w:pPr>
        <w:pStyle w:val="ConsPlusNormal"/>
        <w:spacing w:before="220"/>
        <w:ind w:firstLine="540"/>
        <w:jc w:val="both"/>
      </w:pPr>
      <w: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jc w:val="both"/>
      </w:pPr>
    </w:p>
    <w:p w:rsidR="000075E0" w:rsidRDefault="000075E0">
      <w:pPr>
        <w:sectPr w:rsidR="000075E0" w:rsidSect="00967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5E0" w:rsidRDefault="000075E0">
      <w:pPr>
        <w:pStyle w:val="ConsPlusNormal"/>
        <w:jc w:val="right"/>
        <w:outlineLvl w:val="1"/>
      </w:pPr>
      <w:bookmarkStart w:id="4" w:name="P69"/>
      <w:bookmarkEnd w:id="4"/>
      <w:r>
        <w:lastRenderedPageBreak/>
        <w:t>Приложение</w:t>
      </w:r>
    </w:p>
    <w:p w:rsidR="000075E0" w:rsidRDefault="000075E0">
      <w:pPr>
        <w:pStyle w:val="ConsPlusNormal"/>
        <w:jc w:val="right"/>
      </w:pPr>
      <w:r>
        <w:t>к Порядку использования открытого</w:t>
      </w:r>
    </w:p>
    <w:p w:rsidR="000075E0" w:rsidRDefault="000075E0">
      <w:pPr>
        <w:pStyle w:val="ConsPlusNormal"/>
        <w:jc w:val="right"/>
      </w:pPr>
      <w:r>
        <w:t>огня и разведения костров на землях</w:t>
      </w:r>
    </w:p>
    <w:p w:rsidR="000075E0" w:rsidRDefault="000075E0">
      <w:pPr>
        <w:pStyle w:val="ConsPlusNormal"/>
        <w:jc w:val="right"/>
      </w:pPr>
      <w:r>
        <w:t>сельскохозяйственного назначения</w:t>
      </w:r>
    </w:p>
    <w:p w:rsidR="000075E0" w:rsidRDefault="000075E0">
      <w:pPr>
        <w:pStyle w:val="ConsPlusNormal"/>
        <w:jc w:val="right"/>
      </w:pPr>
      <w:r>
        <w:t xml:space="preserve">и </w:t>
      </w:r>
      <w:proofErr w:type="gramStart"/>
      <w:r>
        <w:t>землях</w:t>
      </w:r>
      <w:proofErr w:type="gramEnd"/>
      <w:r>
        <w:t xml:space="preserve"> запаса</w:t>
      </w:r>
    </w:p>
    <w:p w:rsidR="000075E0" w:rsidRDefault="000075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6"/>
        <w:gridCol w:w="576"/>
        <w:gridCol w:w="562"/>
        <w:gridCol w:w="571"/>
        <w:gridCol w:w="557"/>
        <w:gridCol w:w="586"/>
      </w:tblGrid>
      <w:tr w:rsidR="000075E0">
        <w:tc>
          <w:tcPr>
            <w:tcW w:w="6826" w:type="dxa"/>
          </w:tcPr>
          <w:p w:rsidR="000075E0" w:rsidRDefault="000075E0">
            <w:pPr>
              <w:pStyle w:val="ConsPlusNormal"/>
              <w:jc w:val="center"/>
            </w:pPr>
            <w: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>
              <w:t>м</w:t>
            </w:r>
            <w:proofErr w:type="gramEnd"/>
          </w:p>
        </w:tc>
        <w:tc>
          <w:tcPr>
            <w:tcW w:w="576" w:type="dxa"/>
            <w:vAlign w:val="center"/>
          </w:tcPr>
          <w:p w:rsidR="000075E0" w:rsidRDefault="000075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:rsidR="000075E0" w:rsidRDefault="000075E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71" w:type="dxa"/>
            <w:vAlign w:val="center"/>
          </w:tcPr>
          <w:p w:rsidR="000075E0" w:rsidRDefault="000075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vAlign w:val="center"/>
          </w:tcPr>
          <w:p w:rsidR="000075E0" w:rsidRDefault="000075E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86" w:type="dxa"/>
            <w:vAlign w:val="center"/>
          </w:tcPr>
          <w:p w:rsidR="000075E0" w:rsidRDefault="000075E0">
            <w:pPr>
              <w:pStyle w:val="ConsPlusNormal"/>
              <w:jc w:val="center"/>
            </w:pPr>
            <w:r>
              <w:t>3</w:t>
            </w:r>
          </w:p>
        </w:tc>
      </w:tr>
      <w:tr w:rsidR="000075E0">
        <w:tc>
          <w:tcPr>
            <w:tcW w:w="6826" w:type="dxa"/>
          </w:tcPr>
          <w:p w:rsidR="000075E0" w:rsidRDefault="000075E0">
            <w:pPr>
              <w:pStyle w:val="ConsPlusNormal"/>
              <w:jc w:val="center"/>
            </w:pPr>
            <w: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>
              <w:t>м</w:t>
            </w:r>
            <w:proofErr w:type="gramEnd"/>
          </w:p>
        </w:tc>
        <w:tc>
          <w:tcPr>
            <w:tcW w:w="576" w:type="dxa"/>
            <w:vAlign w:val="center"/>
          </w:tcPr>
          <w:p w:rsidR="000075E0" w:rsidRDefault="000075E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2" w:type="dxa"/>
            <w:vAlign w:val="center"/>
          </w:tcPr>
          <w:p w:rsidR="000075E0" w:rsidRDefault="000075E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0075E0" w:rsidRDefault="000075E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57" w:type="dxa"/>
            <w:vAlign w:val="center"/>
          </w:tcPr>
          <w:p w:rsidR="000075E0" w:rsidRDefault="000075E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6" w:type="dxa"/>
            <w:vAlign w:val="center"/>
          </w:tcPr>
          <w:p w:rsidR="000075E0" w:rsidRDefault="000075E0">
            <w:pPr>
              <w:pStyle w:val="ConsPlusNormal"/>
              <w:jc w:val="center"/>
            </w:pPr>
            <w:r>
              <w:t>50</w:t>
            </w:r>
          </w:p>
        </w:tc>
      </w:tr>
    </w:tbl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jc w:val="both"/>
      </w:pPr>
    </w:p>
    <w:p w:rsidR="000075E0" w:rsidRDefault="000075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D49" w:rsidRDefault="00EF0D49"/>
    <w:sectPr w:rsidR="00EF0D49" w:rsidSect="00BD68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75E0"/>
    <w:rsid w:val="000075E0"/>
    <w:rsid w:val="00702623"/>
    <w:rsid w:val="009D1CE1"/>
    <w:rsid w:val="00D12522"/>
    <w:rsid w:val="00EF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FB1F273190F859130DCA3BB5DE16C148022B0F84DA445E1B447DF99CF983D41B71D1A4FA7CCE7BIBEEI" TargetMode="External"/><Relationship Id="rId4" Type="http://schemas.openxmlformats.org/officeDocument/2006/relationships/hyperlink" Target="consultantplus://offline/ref=41FB1F273190F859130DCA3BB5DE16C14B0A2E0481D0445E1B447DF99CF983D41B71D1IA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6390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Травникова</dc:creator>
  <cp:lastModifiedBy>Травникова</cp:lastModifiedBy>
  <cp:revision>3</cp:revision>
  <dcterms:created xsi:type="dcterms:W3CDTF">2018-04-05T08:04:00Z</dcterms:created>
  <dcterms:modified xsi:type="dcterms:W3CDTF">2018-04-05T08:05:00Z</dcterms:modified>
</cp:coreProperties>
</file>