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FB" w:rsidRPr="00E451EF" w:rsidRDefault="002A07FB" w:rsidP="002A07FB">
      <w:pPr>
        <w:pStyle w:val="af0"/>
        <w:rPr>
          <w:b/>
          <w:sz w:val="60"/>
          <w:szCs w:val="60"/>
        </w:rPr>
      </w:pPr>
      <w:proofErr w:type="gramStart"/>
      <w:r w:rsidRPr="00E451EF">
        <w:rPr>
          <w:b/>
          <w:sz w:val="60"/>
          <w:szCs w:val="60"/>
        </w:rPr>
        <w:t>П</w:t>
      </w:r>
      <w:proofErr w:type="gramEnd"/>
      <w:r w:rsidRPr="00E451EF">
        <w:rPr>
          <w:b/>
          <w:sz w:val="60"/>
          <w:szCs w:val="60"/>
        </w:rPr>
        <w:t xml:space="preserve"> О С Т А Н О В Л Е Н И Е</w:t>
      </w:r>
    </w:p>
    <w:p w:rsidR="002A07FB" w:rsidRPr="00E451EF" w:rsidRDefault="002A07FB" w:rsidP="00E451EF">
      <w:pPr>
        <w:pStyle w:val="af0"/>
        <w:ind w:right="-341"/>
        <w:rPr>
          <w:sz w:val="24"/>
          <w:szCs w:val="24"/>
        </w:rPr>
      </w:pPr>
      <w:r w:rsidRPr="00E451EF">
        <w:rPr>
          <w:sz w:val="24"/>
          <w:szCs w:val="24"/>
        </w:rPr>
        <w:t>АДМИНИСТРАЦИИ БОЛЬШЕСЕЛЬСКОГО МУНИЦИПАЛЬНОГО РАЙОНА</w:t>
      </w:r>
    </w:p>
    <w:p w:rsidR="002A07FB" w:rsidRPr="002A07FB" w:rsidRDefault="002A07FB" w:rsidP="002A07FB">
      <w:pPr>
        <w:pStyle w:val="af1"/>
        <w:rPr>
          <w:sz w:val="28"/>
        </w:rPr>
      </w:pPr>
    </w:p>
    <w:p w:rsidR="002A07FB" w:rsidRPr="002A07FB" w:rsidRDefault="00E451EF" w:rsidP="00E4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08.10.2013г.       № 1300</w:t>
      </w:r>
    </w:p>
    <w:p w:rsidR="002A07FB" w:rsidRPr="002A07FB" w:rsidRDefault="002A07FB" w:rsidP="00E4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7FB">
        <w:rPr>
          <w:rFonts w:ascii="Times New Roman" w:hAnsi="Times New Roman" w:cs="Times New Roman"/>
          <w:sz w:val="28"/>
          <w:szCs w:val="28"/>
        </w:rPr>
        <w:t xml:space="preserve">с. Большое Село </w:t>
      </w:r>
    </w:p>
    <w:p w:rsidR="002A07FB" w:rsidRPr="002A07FB" w:rsidRDefault="002A07FB" w:rsidP="00E4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7FB" w:rsidRPr="002A07FB" w:rsidRDefault="002A07FB" w:rsidP="00E4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ВЦП </w:t>
      </w:r>
      <w:r w:rsidRPr="002A07FB">
        <w:rPr>
          <w:rFonts w:ascii="Times New Roman" w:eastAsia="Times New Roman" w:hAnsi="Times New Roman" w:cs="Times New Roman"/>
          <w:sz w:val="28"/>
          <w:szCs w:val="28"/>
        </w:rPr>
        <w:t xml:space="preserve">«Поддержка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A07FB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жилищно-коммунального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A07FB">
        <w:rPr>
          <w:rFonts w:ascii="Times New Roman" w:eastAsia="Times New Roman" w:hAnsi="Times New Roman" w:cs="Times New Roman"/>
          <w:sz w:val="28"/>
          <w:szCs w:val="28"/>
        </w:rPr>
        <w:t>хозяйства, оказывающих услуги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07FB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теплоснабжению» на 2014 год</w:t>
      </w:r>
      <w:r w:rsidRPr="002A07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A07FB">
        <w:rPr>
          <w:rFonts w:ascii="Times New Roman" w:hAnsi="Times New Roman" w:cs="Times New Roman"/>
          <w:sz w:val="28"/>
          <w:szCs w:val="28"/>
        </w:rPr>
        <w:t xml:space="preserve"> плановый период 2015-2016  годов</w:t>
      </w:r>
    </w:p>
    <w:p w:rsidR="002A07FB" w:rsidRPr="002A07FB" w:rsidRDefault="002A07FB" w:rsidP="00E4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7FB" w:rsidRPr="002A07FB" w:rsidRDefault="002A07FB" w:rsidP="00E451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07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07FB" w:rsidRPr="002A07FB" w:rsidRDefault="002A07FB" w:rsidP="00E451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07FB" w:rsidRPr="002A07FB" w:rsidRDefault="00E451EF" w:rsidP="00E451E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07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07FB" w:rsidRPr="002A07FB">
        <w:rPr>
          <w:rFonts w:ascii="Times New Roman" w:hAnsi="Times New Roman" w:cs="Times New Roman"/>
          <w:sz w:val="28"/>
          <w:szCs w:val="28"/>
        </w:rPr>
        <w:t xml:space="preserve">Ведомственную целевую программу </w:t>
      </w:r>
      <w:r w:rsidR="002A07FB" w:rsidRPr="002A07FB">
        <w:rPr>
          <w:rFonts w:ascii="Times New Roman" w:eastAsia="Times New Roman" w:hAnsi="Times New Roman" w:cs="Times New Roman"/>
          <w:sz w:val="28"/>
          <w:szCs w:val="28"/>
        </w:rPr>
        <w:t>«Поддержка предприятий жилищно-коммунального хозяйства, оказывающих услуги по теплоснабжению» на 2014 год</w:t>
      </w:r>
      <w:r w:rsidR="002A07FB" w:rsidRPr="002A07FB">
        <w:rPr>
          <w:rFonts w:ascii="Times New Roman" w:hAnsi="Times New Roman" w:cs="Times New Roman"/>
          <w:sz w:val="28"/>
          <w:szCs w:val="28"/>
        </w:rPr>
        <w:t xml:space="preserve"> и плановый период 2015-2016  годов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A07FB" w:rsidRPr="002A07FB" w:rsidRDefault="00E451EF" w:rsidP="00E4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07FB" w:rsidRPr="002A07F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2A07FB" w:rsidRPr="002A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2A07FB" w:rsidRPr="002A07FB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07FB" w:rsidRPr="002A0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7FB" w:rsidRPr="002A07F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2A07FB" w:rsidRPr="002A07FB">
        <w:rPr>
          <w:rFonts w:ascii="Times New Roman" w:hAnsi="Times New Roman" w:cs="Times New Roman"/>
          <w:sz w:val="28"/>
          <w:szCs w:val="28"/>
        </w:rPr>
        <w:t xml:space="preserve"> муниципального района Виноградова</w:t>
      </w:r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A07FB" w:rsidRPr="002A07FB" w:rsidRDefault="00E451EF" w:rsidP="00E4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07FB" w:rsidRPr="002A07F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 подписания</w:t>
      </w:r>
    </w:p>
    <w:p w:rsidR="002A07FB" w:rsidRPr="002A07FB" w:rsidRDefault="00A8608D" w:rsidP="00A86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A07FB" w:rsidRDefault="002A07FB" w:rsidP="00E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8D" w:rsidRDefault="00A8608D" w:rsidP="00E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FB" w:rsidRPr="002A07FB" w:rsidRDefault="002A07FB" w:rsidP="00E451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07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07FB" w:rsidRPr="002A07FB" w:rsidRDefault="002A07FB" w:rsidP="00E451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7F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</w:p>
    <w:p w:rsidR="002A07FB" w:rsidRPr="002A07FB" w:rsidRDefault="002A07FB" w:rsidP="00E451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07F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E451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07F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2A07FB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2A07FB" w:rsidRPr="002A07FB" w:rsidRDefault="002A07FB" w:rsidP="00E45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7FB" w:rsidRP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2A0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E451EF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1EF" w:rsidRDefault="002A07FB" w:rsidP="00E451E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451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51EF" w:rsidRPr="00E451EF">
        <w:rPr>
          <w:rFonts w:ascii="Times New Roman" w:hAnsi="Times New Roman" w:cs="Times New Roman"/>
          <w:sz w:val="28"/>
          <w:szCs w:val="28"/>
        </w:rPr>
        <w:t xml:space="preserve">1 </w:t>
      </w:r>
      <w:r w:rsidRPr="00E451EF">
        <w:rPr>
          <w:rFonts w:ascii="Times New Roman" w:hAnsi="Times New Roman" w:cs="Times New Roman"/>
          <w:sz w:val="28"/>
          <w:szCs w:val="28"/>
        </w:rPr>
        <w:t xml:space="preserve">к </w:t>
      </w:r>
      <w:r w:rsidR="00E451EF" w:rsidRPr="00E451EF">
        <w:rPr>
          <w:rFonts w:ascii="Times New Roman" w:hAnsi="Times New Roman" w:cs="Times New Roman"/>
          <w:sz w:val="28"/>
          <w:szCs w:val="28"/>
        </w:rPr>
        <w:t>постановлению А</w:t>
      </w:r>
      <w:r w:rsidRPr="00E451E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451EF" w:rsidRPr="00E451EF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E451EF" w:rsidRPr="00E45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A07FB" w:rsidRPr="00E451EF" w:rsidRDefault="00E451EF" w:rsidP="00E451E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451EF">
        <w:rPr>
          <w:rFonts w:ascii="Times New Roman" w:hAnsi="Times New Roman" w:cs="Times New Roman"/>
          <w:sz w:val="28"/>
          <w:szCs w:val="28"/>
        </w:rPr>
        <w:t>от 08.10.2013г.   №  1300</w:t>
      </w: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2D" w:rsidRPr="004B7402" w:rsidRDefault="005D602D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2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  <w:r w:rsidRPr="004B7402">
        <w:rPr>
          <w:rFonts w:ascii="Times New Roman" w:hAnsi="Times New Roman" w:cs="Times New Roman"/>
          <w:b/>
          <w:sz w:val="28"/>
          <w:szCs w:val="28"/>
        </w:rPr>
        <w:br/>
      </w:r>
      <w:r w:rsidRPr="004B740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B244A" w:rsidRPr="004B7402">
        <w:rPr>
          <w:rFonts w:ascii="Times New Roman" w:eastAsia="Times New Roman" w:hAnsi="Times New Roman" w:cs="Times New Roman"/>
          <w:b/>
          <w:sz w:val="28"/>
          <w:szCs w:val="28"/>
        </w:rPr>
        <w:t>Поддержка предприятий жилищно-коммунального хозяйства, оказывающих услуги по теплоснабжению</w:t>
      </w:r>
      <w:r w:rsidRPr="004B74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B244A" w:rsidRPr="004B740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 год</w:t>
      </w:r>
      <w:r w:rsidRPr="004B7402">
        <w:rPr>
          <w:rFonts w:ascii="Times New Roman" w:hAnsi="Times New Roman" w:cs="Times New Roman"/>
          <w:sz w:val="28"/>
          <w:szCs w:val="28"/>
        </w:rPr>
        <w:t xml:space="preserve"> </w:t>
      </w:r>
      <w:r w:rsidRPr="004B7402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9B244A" w:rsidRPr="004B7402">
        <w:rPr>
          <w:rFonts w:ascii="Times New Roman" w:hAnsi="Times New Roman" w:cs="Times New Roman"/>
          <w:b/>
          <w:sz w:val="28"/>
          <w:szCs w:val="28"/>
        </w:rPr>
        <w:t>2015-2016</w:t>
      </w:r>
      <w:r w:rsidRPr="004B7402">
        <w:rPr>
          <w:rFonts w:ascii="Times New Roman" w:hAnsi="Times New Roman" w:cs="Times New Roman"/>
          <w:b/>
          <w:sz w:val="28"/>
          <w:szCs w:val="28"/>
        </w:rPr>
        <w:t xml:space="preserve">  годов</w:t>
      </w:r>
    </w:p>
    <w:p w:rsidR="00C952EC" w:rsidRPr="004B7402" w:rsidRDefault="00C952EC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C" w:rsidRPr="004B7402" w:rsidRDefault="00C952EC" w:rsidP="00C952EC">
      <w:pPr>
        <w:pStyle w:val="11"/>
        <w:rPr>
          <w:b/>
        </w:rPr>
      </w:pPr>
    </w:p>
    <w:p w:rsidR="00C952EC" w:rsidRPr="004B7402" w:rsidRDefault="00C952EC" w:rsidP="00C952EC">
      <w:pPr>
        <w:pStyle w:val="11"/>
      </w:pPr>
      <w:r w:rsidRPr="004B7402">
        <w:t>ПАСПОРТ ВЦП</w:t>
      </w:r>
    </w:p>
    <w:p w:rsidR="00C952EC" w:rsidRPr="004B7402" w:rsidRDefault="00C952EC" w:rsidP="00C952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9"/>
        <w:gridCol w:w="2317"/>
        <w:gridCol w:w="2219"/>
      </w:tblGrid>
      <w:tr w:rsidR="00C952EC" w:rsidRPr="004B7402" w:rsidTr="00C952EC"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2EC" w:rsidRPr="004B7402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Цель ВЦП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0C" w:rsidRPr="004B7402" w:rsidRDefault="00C952EC" w:rsidP="0087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– </w:t>
            </w:r>
            <w:r w:rsidR="0087590C"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надежного теплоснабжения (ото</w:t>
            </w:r>
            <w:r w:rsidR="009327BF"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пления)</w:t>
            </w:r>
            <w:r w:rsidR="0087590C"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функционирования учреждений бюджетной сферы в части обеспечения коммунальными услугами по отоплению.</w:t>
            </w:r>
          </w:p>
          <w:p w:rsidR="00C952EC" w:rsidRPr="004B7402" w:rsidRDefault="00C952EC" w:rsidP="00C95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EC" w:rsidRPr="004B7402" w:rsidRDefault="00C952E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2EC" w:rsidRPr="004B7402" w:rsidTr="00C952EC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Срок действия ВЦП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C" w:rsidRPr="004B7402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2014 год и плановый период 2015-2016  годов</w:t>
            </w:r>
          </w:p>
        </w:tc>
      </w:tr>
      <w:tr w:rsidR="00C952EC" w:rsidRPr="004B7402" w:rsidTr="00C952EC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C" w:rsidRPr="004B7402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EC" w:rsidRPr="004B7402" w:rsidTr="00C952EC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Куратор ВЦП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4B74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С.Г.Виноградов (48542) 2-93-02</w:t>
            </w:r>
          </w:p>
        </w:tc>
      </w:tr>
      <w:tr w:rsidR="00C952EC" w:rsidRPr="004B7402" w:rsidTr="00C952EC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ВЦП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 w:rsidP="00C952EC">
            <w:pPr>
              <w:widowControl w:val="0"/>
              <w:ind w:firstLine="34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строительства администрации МР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жилищно-коммунального хозяйства и строительства администрации муниципального района И.А.Игнатьев  (48542) 2-94-21</w:t>
            </w:r>
          </w:p>
        </w:tc>
      </w:tr>
      <w:tr w:rsidR="00C952EC" w:rsidRPr="004B7402" w:rsidTr="00C952EC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widowControl w:val="0"/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Исполнители ВЦП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 w:rsidP="00C952EC">
            <w:pPr>
              <w:widowControl w:val="0"/>
              <w:ind w:firstLine="34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и </w:t>
            </w:r>
            <w:r w:rsidRPr="004B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администрации МР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widowControl w:val="0"/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 отделом жилищно-</w:t>
            </w: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коммунального хозяйства и строительства администрации муниципального района И.А.Игнатьев  (48542) 2-94-21</w:t>
            </w:r>
          </w:p>
        </w:tc>
      </w:tr>
      <w:tr w:rsidR="00C952EC" w:rsidRPr="004B7402" w:rsidTr="00C952EC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4B7402" w:rsidRDefault="00C952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размещения информации о ВЦП в интернете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C" w:rsidRPr="004B7402" w:rsidRDefault="00C952EC" w:rsidP="00C952E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</w:t>
            </w: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B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bselo</w:t>
            </w:r>
            <w:proofErr w:type="spellEnd"/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952EC" w:rsidRPr="004B7402" w:rsidRDefault="00C952EC" w:rsidP="00C9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D3" w:rsidRPr="004B7402" w:rsidRDefault="009A25D3" w:rsidP="009A2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b/>
          <w:sz w:val="28"/>
          <w:szCs w:val="28"/>
        </w:rPr>
        <w:t>Общая потребность в финансовых ресурсах</w:t>
      </w:r>
    </w:p>
    <w:p w:rsidR="009A25D3" w:rsidRPr="004B7402" w:rsidRDefault="009A25D3" w:rsidP="009A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/>
      </w:tblPr>
      <w:tblGrid>
        <w:gridCol w:w="3226"/>
        <w:gridCol w:w="1417"/>
        <w:gridCol w:w="1701"/>
        <w:gridCol w:w="1701"/>
        <w:gridCol w:w="1525"/>
      </w:tblGrid>
      <w:tr w:rsidR="009A25D3" w:rsidRPr="004B7402" w:rsidTr="00A7015E">
        <w:tc>
          <w:tcPr>
            <w:tcW w:w="3226" w:type="dxa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gridSpan w:val="4"/>
          </w:tcPr>
          <w:p w:rsidR="009A25D3" w:rsidRPr="004B7402" w:rsidRDefault="00E451EF" w:rsidP="00E45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Прогнозируемый</w:t>
            </w:r>
            <w:r w:rsidR="009A25D3"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финансирования                   </w:t>
            </w:r>
            <w:r w:rsidR="00A7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(тыс</w:t>
            </w:r>
            <w:r w:rsidR="009A25D3"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. руб.)</w:t>
            </w:r>
          </w:p>
        </w:tc>
      </w:tr>
      <w:tr w:rsidR="009A25D3" w:rsidRPr="004B7402" w:rsidTr="00A7015E">
        <w:tc>
          <w:tcPr>
            <w:tcW w:w="3226" w:type="dxa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25D3" w:rsidRPr="004B7402" w:rsidRDefault="009A25D3" w:rsidP="003E1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9A25D3" w:rsidRPr="004B7402" w:rsidRDefault="009A25D3" w:rsidP="003E1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1701" w:type="dxa"/>
          </w:tcPr>
          <w:p w:rsidR="009A25D3" w:rsidRPr="004B7402" w:rsidRDefault="009A25D3" w:rsidP="003E1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525" w:type="dxa"/>
          </w:tcPr>
          <w:p w:rsidR="009A25D3" w:rsidRPr="004B7402" w:rsidRDefault="009A25D3" w:rsidP="003E1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A7015E" w:rsidRPr="004B7402" w:rsidTr="00A7015E">
        <w:tc>
          <w:tcPr>
            <w:tcW w:w="3226" w:type="dxa"/>
          </w:tcPr>
          <w:p w:rsidR="00A7015E" w:rsidRPr="004B7402" w:rsidRDefault="00A7015E" w:rsidP="003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701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2707,5</w:t>
            </w:r>
          </w:p>
        </w:tc>
        <w:tc>
          <w:tcPr>
            <w:tcW w:w="1701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525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3325</w:t>
            </w:r>
          </w:p>
        </w:tc>
      </w:tr>
      <w:tr w:rsidR="00A7015E" w:rsidRPr="004B7402" w:rsidTr="00A7015E">
        <w:tc>
          <w:tcPr>
            <w:tcW w:w="3226" w:type="dxa"/>
          </w:tcPr>
          <w:p w:rsidR="00A7015E" w:rsidRPr="004B7402" w:rsidRDefault="00A7015E" w:rsidP="003E1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701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701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25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A7015E" w:rsidRPr="004B7402" w:rsidTr="00A7015E">
        <w:tc>
          <w:tcPr>
            <w:tcW w:w="3226" w:type="dxa"/>
          </w:tcPr>
          <w:p w:rsidR="00A7015E" w:rsidRPr="004B7402" w:rsidRDefault="00A7015E" w:rsidP="003E1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ВЦП</w:t>
            </w:r>
          </w:p>
        </w:tc>
        <w:tc>
          <w:tcPr>
            <w:tcW w:w="1417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9550*</w:t>
            </w:r>
          </w:p>
        </w:tc>
        <w:tc>
          <w:tcPr>
            <w:tcW w:w="1701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2850*</w:t>
            </w:r>
          </w:p>
        </w:tc>
        <w:tc>
          <w:tcPr>
            <w:tcW w:w="1701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3200*</w:t>
            </w:r>
          </w:p>
        </w:tc>
        <w:tc>
          <w:tcPr>
            <w:tcW w:w="1525" w:type="dxa"/>
          </w:tcPr>
          <w:p w:rsidR="00A7015E" w:rsidRPr="008A2219" w:rsidRDefault="00A7015E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3500*</w:t>
            </w:r>
          </w:p>
        </w:tc>
      </w:tr>
    </w:tbl>
    <w:p w:rsidR="009A25D3" w:rsidRPr="004B7402" w:rsidRDefault="009A25D3" w:rsidP="009A25D3">
      <w:pPr>
        <w:rPr>
          <w:rFonts w:ascii="Times New Roman" w:hAnsi="Times New Roman" w:cs="Times New Roman"/>
          <w:sz w:val="28"/>
          <w:szCs w:val="28"/>
        </w:rPr>
      </w:pPr>
    </w:p>
    <w:p w:rsidR="009A25D3" w:rsidRPr="004B7402" w:rsidRDefault="008A2219" w:rsidP="009A25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9A25D3" w:rsidRPr="004B7402"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подлежит ежегодному уточнению в соответствии с изменениями областного и местного бюджета</w:t>
      </w:r>
    </w:p>
    <w:p w:rsidR="009A25D3" w:rsidRPr="004B7402" w:rsidRDefault="008A2219" w:rsidP="009A25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A22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25D3" w:rsidRPr="004B7402">
        <w:rPr>
          <w:rFonts w:ascii="Times New Roman" w:eastAsia="Times New Roman" w:hAnsi="Times New Roman" w:cs="Times New Roman"/>
          <w:b/>
          <w:sz w:val="28"/>
          <w:szCs w:val="28"/>
        </w:rPr>
        <w:t>Описание текущей ситуации и необходимости реализации ВЦП</w:t>
      </w:r>
    </w:p>
    <w:p w:rsidR="009A25D3" w:rsidRPr="004B7402" w:rsidRDefault="009A25D3" w:rsidP="009A25D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A25D3" w:rsidRPr="004B7402" w:rsidRDefault="009A25D3" w:rsidP="009A25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тепловой энергии для нужд </w:t>
      </w:r>
      <w:proofErr w:type="spellStart"/>
      <w:r w:rsidRPr="004B7402">
        <w:rPr>
          <w:rFonts w:ascii="Times New Roman" w:hAnsi="Times New Roman" w:cs="Times New Roman"/>
          <w:color w:val="000000"/>
          <w:sz w:val="28"/>
          <w:szCs w:val="28"/>
        </w:rPr>
        <w:t>Большесельского</w:t>
      </w:r>
      <w:proofErr w:type="spellEnd"/>
      <w:r w:rsidRPr="004B740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производится 11 котельными различной мощности. </w:t>
      </w:r>
      <w:proofErr w:type="gramStart"/>
      <w:r w:rsidRPr="004B7402">
        <w:rPr>
          <w:rFonts w:ascii="Times New Roman" w:hAnsi="Times New Roman" w:cs="Times New Roman"/>
          <w:color w:val="000000"/>
          <w:sz w:val="28"/>
          <w:szCs w:val="28"/>
        </w:rPr>
        <w:t>В том числе 10 котельных муниципальные, из них газовые-2;   электрические- 1, на мазуте  - 6, на дизельном топливе – 2.</w:t>
      </w:r>
      <w:proofErr w:type="gramEnd"/>
    </w:p>
    <w:p w:rsidR="009A25D3" w:rsidRPr="004B7402" w:rsidRDefault="009A25D3" w:rsidP="009A25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котельные </w:t>
      </w:r>
      <w:proofErr w:type="spellStart"/>
      <w:r w:rsidRPr="004B7402">
        <w:rPr>
          <w:rFonts w:ascii="Times New Roman" w:hAnsi="Times New Roman" w:cs="Times New Roman"/>
          <w:color w:val="000000"/>
          <w:sz w:val="28"/>
          <w:szCs w:val="28"/>
        </w:rPr>
        <w:t>Большесельского</w:t>
      </w:r>
      <w:proofErr w:type="spellEnd"/>
      <w:r w:rsidRPr="004B740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указаны в таблице 1.</w:t>
      </w:r>
    </w:p>
    <w:p w:rsidR="008A2219" w:rsidRDefault="008A2219" w:rsidP="009A25D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2219" w:rsidRDefault="008A2219" w:rsidP="009A25D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27BF" w:rsidRDefault="009327BF" w:rsidP="009A25D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7015E" w:rsidRDefault="00A7015E" w:rsidP="009A25D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25D3" w:rsidRPr="004B7402" w:rsidRDefault="009A25D3" w:rsidP="009A25D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2566"/>
        <w:gridCol w:w="2642"/>
      </w:tblGrid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котельных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Тепловая мощность, </w:t>
            </w:r>
          </w:p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Годовой отпуск </w:t>
            </w:r>
          </w:p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тепловой энергии </w:t>
            </w:r>
          </w:p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котельная с. Большое Село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18440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д. Сельцо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8225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с. Дунилово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2812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д. Борисовское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3058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Котельная д. </w:t>
            </w:r>
            <w:proofErr w:type="spellStart"/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Миглино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A8608D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д</w:t>
            </w:r>
            <w:r w:rsidR="009A25D3"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25D3"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д. Варегово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7734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СХТ с. Большое Село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1763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с. 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КБО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Котельная д. Благовещенье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4B7402" w:rsidRDefault="009A25D3" w:rsidP="003E1B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9A25D3" w:rsidRPr="004B7402" w:rsidRDefault="009A25D3" w:rsidP="009A25D3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25D3" w:rsidRPr="004B7402" w:rsidRDefault="009A25D3" w:rsidP="009A25D3">
      <w:pPr>
        <w:spacing w:before="75" w:after="75" w:line="240" w:lineRule="auto"/>
        <w:ind w:left="150" w:right="1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ЖКХ прослеживается несоответствие между темпами роста цен на ресурсы и жилищно-коммунальные услуги</w:t>
      </w:r>
      <w:r w:rsidR="008A22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25D3" w:rsidRPr="004B7402" w:rsidRDefault="009A25D3" w:rsidP="009A25D3">
      <w:pPr>
        <w:spacing w:before="75" w:after="75" w:line="240" w:lineRule="auto"/>
        <w:ind w:left="150" w:right="1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Названный фактор является источником серьезной проблемы, возникающей в ходе предоставления коммунальной услуги по теплоснабжению. Отсюда рост задолженности  за </w:t>
      </w:r>
      <w:r w:rsidR="008A2219"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топл</w:t>
      </w:r>
      <w:r w:rsidR="008A2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2219"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-энергетические ресурсы и  невозможность финансового оздоровления предприятий ЖКХ.</w:t>
      </w:r>
    </w:p>
    <w:p w:rsidR="009A25D3" w:rsidRPr="004B7402" w:rsidRDefault="009A25D3" w:rsidP="009A25D3">
      <w:pPr>
        <w:spacing w:before="75" w:after="75" w:line="240" w:lineRule="auto"/>
        <w:ind w:left="150" w:right="1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жилищно-коммунального хозяйства характеризуется:</w:t>
      </w:r>
    </w:p>
    <w:p w:rsidR="009A25D3" w:rsidRPr="004B7402" w:rsidRDefault="009A25D3" w:rsidP="009A25D3">
      <w:pPr>
        <w:spacing w:before="75" w:after="75" w:line="240" w:lineRule="auto"/>
        <w:ind w:left="150" w:right="1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- низким качеством предоставляемых предприятиями ЖКХ услуг;</w:t>
      </w:r>
    </w:p>
    <w:p w:rsidR="009A25D3" w:rsidRPr="004B7402" w:rsidRDefault="009A25D3" w:rsidP="009A25D3">
      <w:pPr>
        <w:spacing w:before="75" w:after="75" w:line="240" w:lineRule="auto"/>
        <w:ind w:left="150" w:right="1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- износом технологического оборудования и основных средств ЖКХ;</w:t>
      </w:r>
    </w:p>
    <w:p w:rsidR="009A25D3" w:rsidRPr="004B7402" w:rsidRDefault="009A25D3" w:rsidP="009A25D3">
      <w:pPr>
        <w:spacing w:before="75" w:after="75" w:line="240" w:lineRule="auto"/>
        <w:ind w:left="150" w:right="1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color w:val="000000"/>
          <w:sz w:val="28"/>
          <w:szCs w:val="28"/>
        </w:rPr>
        <w:t>- убыточностью отрасли ЖКХ, что, в свою очередь, требует отвлечения значительных бюджетных средств на компенсацию убытков предприятиям ЖКХ, подготовку объектов ЖКХ к осенне-зимнему сезону.</w:t>
      </w:r>
    </w:p>
    <w:p w:rsidR="009A25D3" w:rsidRPr="004B7402" w:rsidRDefault="009A25D3" w:rsidP="009A25D3">
      <w:pPr>
        <w:spacing w:before="75" w:after="75" w:line="240" w:lineRule="auto"/>
        <w:ind w:left="150" w:right="1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1EF" w:rsidRDefault="00E451EF" w:rsidP="008A2219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D3" w:rsidRPr="004B7402" w:rsidRDefault="008A2219" w:rsidP="008A2219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3E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5D3" w:rsidRPr="004B7402">
        <w:rPr>
          <w:rFonts w:ascii="Times New Roman" w:hAnsi="Times New Roman" w:cs="Times New Roman"/>
          <w:b/>
          <w:sz w:val="28"/>
          <w:szCs w:val="28"/>
        </w:rPr>
        <w:t>Цели ВЦП</w:t>
      </w:r>
    </w:p>
    <w:p w:rsidR="00C952EC" w:rsidRPr="004B7402" w:rsidRDefault="001E3673" w:rsidP="0087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 Целями</w:t>
      </w:r>
      <w:r w:rsidR="009A25D3" w:rsidRPr="004B7402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="009A25D3" w:rsidRPr="004B7402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- обеспечение надежного теплоснабжения (ото</w:t>
      </w:r>
      <w:r w:rsidR="009327BF">
        <w:rPr>
          <w:rFonts w:ascii="Times New Roman" w:eastAsia="Times New Roman" w:hAnsi="Times New Roman" w:cs="Times New Roman"/>
          <w:sz w:val="28"/>
          <w:szCs w:val="28"/>
        </w:rPr>
        <w:t>пления)</w:t>
      </w:r>
      <w:r w:rsidR="009A25D3" w:rsidRPr="004B7402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учреждений бюджетной сферы в части обеспечения комм</w:t>
      </w:r>
      <w:r w:rsidRPr="004B7402">
        <w:rPr>
          <w:rFonts w:ascii="Times New Roman" w:eastAsia="Times New Roman" w:hAnsi="Times New Roman" w:cs="Times New Roman"/>
          <w:sz w:val="28"/>
          <w:szCs w:val="28"/>
        </w:rPr>
        <w:t>унальными услугами по отоплению;</w:t>
      </w:r>
    </w:p>
    <w:p w:rsidR="001E3673" w:rsidRPr="004B7402" w:rsidRDefault="001E3673" w:rsidP="001E367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эффективности, устойчивости и надежности функционирования жилищно-коммунальных с</w:t>
      </w:r>
      <w:r w:rsidR="009327BF">
        <w:rPr>
          <w:rFonts w:ascii="Times New Roman" w:eastAsia="Times New Roman" w:hAnsi="Times New Roman" w:cs="Times New Roman"/>
          <w:sz w:val="28"/>
          <w:szCs w:val="28"/>
        </w:rPr>
        <w:t>истем жизнеобеспечения</w:t>
      </w:r>
      <w:r w:rsidRPr="004B74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3673" w:rsidRPr="004B7402" w:rsidRDefault="001E3673" w:rsidP="001E367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sz w:val="28"/>
          <w:szCs w:val="28"/>
        </w:rPr>
        <w:t>-  финансовое оздоровление жилищно-коммунальных предприятий, снижение издержек и повышение качества жилищно-коммунальных услуг.</w:t>
      </w:r>
    </w:p>
    <w:p w:rsidR="001E3673" w:rsidRPr="004B7402" w:rsidRDefault="001E3673" w:rsidP="0087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2EC" w:rsidRPr="008A2219" w:rsidRDefault="008A2219" w:rsidP="00C952EC">
      <w:pPr>
        <w:pStyle w:val="11"/>
        <w:rPr>
          <w:b/>
        </w:rPr>
      </w:pPr>
      <w:r w:rsidRPr="008A2219">
        <w:rPr>
          <w:b/>
          <w:lang w:val="en-US"/>
        </w:rPr>
        <w:t>III</w:t>
      </w:r>
      <w:r w:rsidR="00C952EC" w:rsidRPr="008A2219">
        <w:rPr>
          <w:b/>
        </w:rPr>
        <w:t>. Задачи и результаты,</w:t>
      </w:r>
      <w:r w:rsidRPr="008A2219">
        <w:rPr>
          <w:b/>
        </w:rPr>
        <w:t xml:space="preserve"> мероприятия ВЦП </w:t>
      </w:r>
    </w:p>
    <w:tbl>
      <w:tblPr>
        <w:tblW w:w="5000" w:type="pct"/>
        <w:tblLayout w:type="fixed"/>
        <w:tblLook w:val="00A0"/>
      </w:tblPr>
      <w:tblGrid>
        <w:gridCol w:w="663"/>
        <w:gridCol w:w="1998"/>
        <w:gridCol w:w="555"/>
        <w:gridCol w:w="722"/>
        <w:gridCol w:w="1139"/>
        <w:gridCol w:w="1261"/>
        <w:gridCol w:w="1148"/>
        <w:gridCol w:w="40"/>
        <w:gridCol w:w="1026"/>
        <w:gridCol w:w="1018"/>
      </w:tblGrid>
      <w:tr w:rsidR="0087590C" w:rsidRPr="008A2219" w:rsidTr="00A8608D">
        <w:trPr>
          <w:trHeight w:val="495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 w:rsidP="0087590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ind w:left="-108" w:right="-1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бюджетного ассигнования 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  <w:p w:rsidR="00C952EC" w:rsidRPr="008A2219" w:rsidRDefault="00C952EC" w:rsidP="008759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результата,</w:t>
            </w:r>
          </w:p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мероприятий</w:t>
            </w:r>
          </w:p>
        </w:tc>
      </w:tr>
      <w:tr w:rsidR="0087590C" w:rsidRPr="008A2219" w:rsidTr="00A8608D">
        <w:trPr>
          <w:trHeight w:val="762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87590C" w:rsidRPr="008A2219" w:rsidTr="00A8608D">
        <w:trPr>
          <w:trHeight w:val="360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87590C" w:rsidP="008759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8A2219" w:rsidP="008759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7590C" w:rsidRPr="008A22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8A2219" w:rsidP="008759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52EC" w:rsidRPr="008A22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7590C" w:rsidRPr="008A2219" w:rsidTr="00A8608D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3EB4" w:rsidRPr="008A2219" w:rsidTr="00A8608D">
        <w:trPr>
          <w:trHeight w:val="365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87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теплоснабжающим организациям дополнительных расходов, возникающих при обеспечении надежного теплоснабжения (ото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пление)</w:t>
            </w: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функционирования учреждений бюджетной сферы в части обеспечения коммунальными услугами по отоплению в соответствии с действующим законодательством</w:t>
            </w:r>
          </w:p>
          <w:p w:rsidR="00723EB4" w:rsidRPr="008A2219" w:rsidRDefault="00723EB4" w:rsidP="008A2219">
            <w:pPr>
              <w:widowControl w:val="0"/>
              <w:ind w:firstLineChars="12"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3EB4" w:rsidRPr="008A2219" w:rsidRDefault="00723E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8A2219">
            <w:pPr>
              <w:widowControl w:val="0"/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23EB4" w:rsidRPr="008A2219" w:rsidTr="00A8608D">
        <w:trPr>
          <w:trHeight w:val="334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8A2219">
            <w:pPr>
              <w:widowControl w:val="0"/>
              <w:ind w:leftChars="-7" w:left="2" w:hangingChars="7" w:hanging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2707,5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3325</w:t>
            </w:r>
          </w:p>
        </w:tc>
      </w:tr>
      <w:tr w:rsidR="0087590C" w:rsidRPr="008A2219" w:rsidTr="00A8608D">
        <w:trPr>
          <w:trHeight w:val="345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 w:rsidP="008A2219">
            <w:pPr>
              <w:widowControl w:val="0"/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ФБ**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87590C" w:rsidP="008759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21304F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21304F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23EB4" w:rsidRPr="008A2219" w:rsidTr="00A8608D">
        <w:trPr>
          <w:trHeight w:val="320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8A2219">
            <w:pPr>
              <w:widowControl w:val="0"/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МБ**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723EB4" w:rsidP="00E451E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87590C" w:rsidRPr="008A2219" w:rsidTr="00A8608D">
        <w:trPr>
          <w:trHeight w:val="295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 w:rsidP="008A2219">
            <w:pPr>
              <w:widowControl w:val="0"/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ВИ**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87590C" w:rsidP="008759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21304F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21304F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B7402" w:rsidRPr="008A2219" w:rsidTr="00A8608D">
        <w:trPr>
          <w:trHeight w:val="20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402" w:rsidRPr="008A2219" w:rsidRDefault="004B7402" w:rsidP="008A2219">
            <w:pPr>
              <w:widowControl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02" w:rsidRPr="008A2219" w:rsidRDefault="004B7402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оздоровление жилищно-коммунальных предприятий, снижение издержек и повышение качества жилищно-коммунальных услуг.</w:t>
            </w:r>
          </w:p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BE8" w:rsidRPr="008A2219" w:rsidTr="00A8608D">
        <w:trPr>
          <w:trHeight w:val="365"/>
        </w:trPr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2F1BE8">
            <w:pPr>
              <w:pStyle w:val="ab"/>
              <w:rPr>
                <w:sz w:val="24"/>
                <w:szCs w:val="24"/>
              </w:rPr>
            </w:pPr>
            <w:r w:rsidRPr="008A2219">
              <w:rPr>
                <w:sz w:val="24"/>
                <w:szCs w:val="24"/>
              </w:rPr>
              <w:t xml:space="preserve">Итого по ВЦП </w:t>
            </w:r>
            <w:r w:rsidR="00723EB4">
              <w:rPr>
                <w:sz w:val="24"/>
                <w:szCs w:val="24"/>
              </w:rPr>
              <w:t>(т</w:t>
            </w:r>
            <w:r w:rsidRPr="008A2219">
              <w:rPr>
                <w:sz w:val="24"/>
                <w:szCs w:val="24"/>
              </w:rPr>
              <w:t>ыс. руб.</w:t>
            </w:r>
            <w:r w:rsidR="00723EB4">
              <w:rPr>
                <w:sz w:val="24"/>
                <w:szCs w:val="24"/>
              </w:rPr>
              <w:t>)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>
            <w:pPr>
              <w:pStyle w:val="ab"/>
              <w:rPr>
                <w:sz w:val="24"/>
                <w:szCs w:val="24"/>
              </w:rPr>
            </w:pPr>
            <w:r w:rsidRPr="008A221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723EB4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723EB4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723EB4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723EB4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F1BE8" w:rsidRPr="008A2219" w:rsidTr="00A8608D">
        <w:trPr>
          <w:trHeight w:val="334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8" w:rsidRPr="008A2219" w:rsidRDefault="002F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723EB4" w:rsidP="00193E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723EB4" w:rsidP="00193E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2707,5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723EB4" w:rsidP="00193E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723EB4" w:rsidP="00193E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3325</w:t>
            </w:r>
          </w:p>
        </w:tc>
      </w:tr>
      <w:tr w:rsidR="002F1BE8" w:rsidRPr="008A2219" w:rsidTr="00A8608D">
        <w:trPr>
          <w:trHeight w:val="345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8" w:rsidRPr="008A2219" w:rsidRDefault="002F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2F1BE8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062A18" w:rsidP="00062A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A18" w:rsidRPr="008A2219" w:rsidTr="00A8608D">
        <w:trPr>
          <w:trHeight w:val="320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18" w:rsidRPr="008A2219" w:rsidRDefault="0006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18" w:rsidRPr="008A2219" w:rsidRDefault="0006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A18" w:rsidRPr="008A2219" w:rsidRDefault="00723EB4" w:rsidP="00193E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A18" w:rsidRPr="008A2219" w:rsidRDefault="00723EB4" w:rsidP="00193E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A18" w:rsidRPr="008A2219" w:rsidRDefault="00723EB4" w:rsidP="00193E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A18" w:rsidRPr="008A2219" w:rsidRDefault="00723EB4" w:rsidP="00723EB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2F1BE8" w:rsidRPr="008A2219" w:rsidTr="00A8608D">
        <w:trPr>
          <w:trHeight w:val="295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E8" w:rsidRPr="008A2219" w:rsidRDefault="002F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BE8" w:rsidRPr="008A2219" w:rsidRDefault="002F1BE8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E8" w:rsidRPr="008A2219" w:rsidRDefault="002F1BE8" w:rsidP="003E1B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52EC" w:rsidRPr="008A2219" w:rsidRDefault="00C952EC" w:rsidP="00C952EC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</w:p>
    <w:p w:rsidR="00C952EC" w:rsidRPr="004B7402" w:rsidRDefault="008A2219" w:rsidP="00E451EF">
      <w:pPr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952EC" w:rsidRPr="004B7402">
        <w:rPr>
          <w:rFonts w:ascii="Times New Roman" w:hAnsi="Times New Roman" w:cs="Times New Roman"/>
          <w:b/>
          <w:sz w:val="28"/>
          <w:szCs w:val="28"/>
        </w:rPr>
        <w:t>.</w:t>
      </w:r>
      <w:r w:rsidRPr="008A2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EC" w:rsidRPr="004B7402">
        <w:rPr>
          <w:rFonts w:ascii="Times New Roman" w:hAnsi="Times New Roman" w:cs="Times New Roman"/>
          <w:b/>
          <w:sz w:val="28"/>
          <w:szCs w:val="28"/>
        </w:rPr>
        <w:t>Механизмы реализации и управления ВЦП:</w:t>
      </w:r>
    </w:p>
    <w:p w:rsidR="003E1B98" w:rsidRPr="004B7402" w:rsidRDefault="003E1B98" w:rsidP="004B7402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направляются на оплату природного газа, используемого для производства тепловой энергии, в том числе поставщиками покупной тепловой энергии.  Средства выделяются на основании договоров, заключенных между теплоснабжающими организациями и администрацией муниципального района, обоснованных расчетов, представленных в отдел жилищно-коммунального хозяйства</w:t>
      </w:r>
      <w:r w:rsidR="004B7402">
        <w:rPr>
          <w:rFonts w:ascii="Times New Roman" w:hAnsi="Times New Roman" w:cs="Times New Roman"/>
          <w:sz w:val="28"/>
          <w:szCs w:val="28"/>
        </w:rPr>
        <w:t xml:space="preserve"> </w:t>
      </w:r>
      <w:r w:rsidRPr="004B7402">
        <w:rPr>
          <w:rFonts w:ascii="Times New Roman" w:hAnsi="Times New Roman" w:cs="Times New Roman"/>
          <w:sz w:val="28"/>
          <w:szCs w:val="28"/>
        </w:rPr>
        <w:t>и строительства администрации муниципального района (далее – отдел ЖКХ и строительства).</w:t>
      </w:r>
    </w:p>
    <w:p w:rsidR="003E1B98" w:rsidRPr="004B7402" w:rsidRDefault="003E1B98" w:rsidP="004B74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Размер субсидии   (С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4B7402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3E1B98" w:rsidRPr="004B7402" w:rsidRDefault="003E1B98" w:rsidP="004B740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ab/>
        <w:t>C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 xml:space="preserve">2013 </w:t>
      </w:r>
      <w:r w:rsidRPr="004B7402">
        <w:rPr>
          <w:rFonts w:ascii="Times New Roman" w:hAnsi="Times New Roman" w:cs="Times New Roman"/>
          <w:sz w:val="28"/>
          <w:szCs w:val="28"/>
        </w:rPr>
        <w:t>= [S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 + (З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4B7402">
        <w:rPr>
          <w:rFonts w:ascii="Times New Roman" w:hAnsi="Times New Roman" w:cs="Times New Roman"/>
          <w:sz w:val="28"/>
          <w:szCs w:val="28"/>
        </w:rPr>
        <w:t xml:space="preserve"> –Т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4B74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V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4B740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K,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где:</w:t>
      </w:r>
    </w:p>
    <w:p w:rsidR="003E1B98" w:rsidRPr="004B7402" w:rsidRDefault="003E1B98" w:rsidP="004B740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        S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 - сумма дополнительных расходов по теплоснабжению за 2012 год         (в рублях), рассчитанная по формуле: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S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 = (З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 –Т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V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B740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B7402">
        <w:rPr>
          <w:rFonts w:ascii="Times New Roman" w:hAnsi="Times New Roman" w:cs="Times New Roman"/>
          <w:sz w:val="28"/>
          <w:szCs w:val="28"/>
        </w:rPr>
        <w:t>-</w:t>
      </w:r>
      <w:r w:rsidRPr="004B74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B740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З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 xml:space="preserve">2012 </w:t>
      </w:r>
      <w:r w:rsidRPr="004B7402">
        <w:rPr>
          <w:rFonts w:ascii="Times New Roman" w:hAnsi="Times New Roman" w:cs="Times New Roman"/>
          <w:sz w:val="28"/>
          <w:szCs w:val="28"/>
        </w:rPr>
        <w:t>- средние фактические затраты на производство и реализацию тепловой энергии в 2012 году  в расчете на 1 Гкал (в  рублях);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Т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 – средний тариф на тепловую энергию 2012 года за 1 Гкал, без налога на добавленную стоимость (в рублях);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402">
        <w:rPr>
          <w:rFonts w:ascii="Times New Roman" w:hAnsi="Times New Roman" w:cs="Times New Roman"/>
          <w:sz w:val="28"/>
          <w:szCs w:val="28"/>
        </w:rPr>
        <w:t>V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2012</w:t>
      </w:r>
      <w:r w:rsidRPr="004B7402">
        <w:rPr>
          <w:rFonts w:ascii="Times New Roman" w:hAnsi="Times New Roman" w:cs="Times New Roman"/>
          <w:sz w:val="28"/>
          <w:szCs w:val="28"/>
        </w:rPr>
        <w:t xml:space="preserve"> – объём тепловой энергии, использованный для обеспечения теплоснабжения населения и учреждений бюджетной сферы в соответствии с заключенными договорами, по  муниципальным району в 2012 году (в Гкал);</w:t>
      </w:r>
      <w:proofErr w:type="gramEnd"/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B7402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7402">
        <w:rPr>
          <w:rFonts w:ascii="Times New Roman" w:hAnsi="Times New Roman" w:cs="Times New Roman"/>
          <w:sz w:val="28"/>
          <w:szCs w:val="28"/>
        </w:rPr>
        <w:t>– объем средств, направленных на оплату понесенных организациями коммунального комплекса дополнительных затрат по теплоснабжению в 2012 году за счет средств областного бюджета, дополнительных собственных средств организаций;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4B7402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7402">
        <w:rPr>
          <w:rFonts w:ascii="Times New Roman" w:hAnsi="Times New Roman" w:cs="Times New Roman"/>
          <w:sz w:val="28"/>
          <w:szCs w:val="28"/>
        </w:rPr>
        <w:t xml:space="preserve">– объем средств, направленных на оплату понесенных организациями коммунального комплекса дополнительных затрат по теплоснабжению в 2012 году за счет средств местного бюджета, обеспечивающий установленный на 2012 год уровень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расходных обязательств;</w:t>
      </w:r>
    </w:p>
    <w:p w:rsidR="003E1B98" w:rsidRPr="004B7402" w:rsidRDefault="003E1B98" w:rsidP="004B74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4B7402">
        <w:rPr>
          <w:rFonts w:ascii="Times New Roman" w:hAnsi="Times New Roman" w:cs="Times New Roman"/>
          <w:sz w:val="28"/>
          <w:szCs w:val="28"/>
        </w:rPr>
        <w:t xml:space="preserve"> – прогнозируемые средние фактические затраты на производство и реализацию тепловой энергии в 2013 году  в расчете на 1 Гкал (в  рублях);</w:t>
      </w:r>
    </w:p>
    <w:p w:rsidR="003E1B98" w:rsidRPr="004B7402" w:rsidRDefault="003E1B98" w:rsidP="004B740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Т 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 xml:space="preserve">2013 </w:t>
      </w:r>
      <w:r w:rsidRPr="004B7402">
        <w:rPr>
          <w:rFonts w:ascii="Times New Roman" w:hAnsi="Times New Roman" w:cs="Times New Roman"/>
          <w:sz w:val="28"/>
          <w:szCs w:val="28"/>
        </w:rPr>
        <w:t>– средний тариф на тепловую энергию 2013 года за 1 Гкал, без налога на добавленную стоимость (в рублях);</w:t>
      </w:r>
    </w:p>
    <w:p w:rsidR="003E1B98" w:rsidRPr="004B7402" w:rsidRDefault="003E1B98" w:rsidP="004B740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V</w:t>
      </w:r>
      <w:r w:rsidRPr="004B7402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4B7402">
        <w:rPr>
          <w:rFonts w:ascii="Times New Roman" w:hAnsi="Times New Roman" w:cs="Times New Roman"/>
          <w:sz w:val="28"/>
          <w:szCs w:val="28"/>
        </w:rPr>
        <w:t xml:space="preserve"> – объём тепловой энергии, необходимый для обеспечения теплоснабжения населения и учреждений бюджетной сферы, в соответствии с заключенными договорами, по муниципальному району в 2013 году  (в Гкал);</w:t>
      </w:r>
    </w:p>
    <w:p w:rsidR="003E1B98" w:rsidRPr="004B7402" w:rsidRDefault="003E1B98" w:rsidP="004B740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K – средний поправочный коэффициент влияния  газовой составляющей  на расходы на тепловую   энергию,   учитывающий    долю   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  местного бюджета  и обеспеченность теплоснабжающих организаций оборотными средствами (в долях). Уполномоченным органом по расходованию субсидий в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муниципальном районе является Администрация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 ЖКХ и строительства администрации МР.                                                                                                                 Главным распорядителем средств субсидий является Администрация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 бухгалтерского учета и отчетности администрации МР.                                                                                                                                                                            Отдел ЖКХ и строительства проверяет и согласовывает предоставленные теплоснабжающими организациями в срок до 12 числа месяца, следующего за отчетным периодом, экономически обоснованные и документально подтвержденные фактические расходы, принимаемые в расчетах на возмещение затрат.                                                                                               Отдел  бухгалтерского учета и отчетности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района может производить авансовые перечисления средств субсидии по плановым расчетам с последующим перерасчетом объемов финансирования за расчетный период, согласно фактическим расходам только в части средств местного бюджета.  В случае излишнего финансирования организаций, установленного отделом ЖКХ и строительства, по результатам прошедшего года, полученные бюджетные средства  подлежат возврату в местный бюджет до 01 марта года, следующего </w:t>
      </w:r>
      <w:proofErr w:type="gramStart"/>
      <w:r w:rsidRPr="004B74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7402">
        <w:rPr>
          <w:rFonts w:ascii="Times New Roman" w:hAnsi="Times New Roman" w:cs="Times New Roman"/>
          <w:sz w:val="28"/>
          <w:szCs w:val="28"/>
        </w:rPr>
        <w:t xml:space="preserve"> отчетным. </w:t>
      </w:r>
      <w:proofErr w:type="gramStart"/>
      <w:r w:rsidRPr="004B7402">
        <w:rPr>
          <w:rFonts w:ascii="Times New Roman" w:hAnsi="Times New Roman" w:cs="Times New Roman"/>
          <w:sz w:val="28"/>
          <w:szCs w:val="28"/>
        </w:rPr>
        <w:t>Возвращенные средства могут быть перераспределены в году, следующем за отчетным при наличии потребности у организаций в субсидии (по итогам работы за 2012 год), при отсутствии этой потребности подлежат возврату в областной бюджет.</w:t>
      </w:r>
      <w:proofErr w:type="gramEnd"/>
      <w:r w:rsidRPr="004B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Финансовое управление администрации муниципального района вправе изменять объемы финансирования и (или) приостанавливать финансирование в случаях отсутствия обосновывающей документации, на основании заключения отдела ЖКХ и строительства.   Расходование средств субсидий, выделяемых из бюджета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следующем порядке:                                                                                                  - предприятия ЖКХ представляют в отдел бухгалтерского учета и отчетности муниципального района заявку на выделение средств, согласованную с отделом ЖКХ и строительства</w:t>
      </w:r>
      <w:proofErr w:type="gramStart"/>
      <w:r w:rsidRPr="004B7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B7402" w:rsidRPr="004B74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7402">
        <w:rPr>
          <w:rFonts w:ascii="Times New Roman" w:hAnsi="Times New Roman" w:cs="Times New Roman"/>
          <w:sz w:val="28"/>
          <w:szCs w:val="28"/>
        </w:rPr>
        <w:t xml:space="preserve"> </w:t>
      </w:r>
      <w:r w:rsidR="004B7402" w:rsidRPr="004B74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7402" w:rsidRPr="004B74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7402">
        <w:rPr>
          <w:rFonts w:ascii="Times New Roman" w:hAnsi="Times New Roman" w:cs="Times New Roman"/>
          <w:sz w:val="28"/>
          <w:szCs w:val="28"/>
        </w:rPr>
        <w:t>тдел бухгалтерского учета и отчетности муниципального района представляет в Финансовое управление администрации муниципального района реестр на финансирование.</w:t>
      </w:r>
      <w:r w:rsidR="004B7402" w:rsidRPr="004B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B740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B740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B7402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обеспечивает расходование субсидии на основании, заключенных договоров и соглашений, в соответствии с действующим законодательством.</w:t>
      </w:r>
    </w:p>
    <w:p w:rsidR="003E1B98" w:rsidRPr="004B7402" w:rsidRDefault="003E1B98" w:rsidP="004B7402">
      <w:pPr>
        <w:pStyle w:val="12"/>
        <w:tabs>
          <w:tab w:val="left" w:pos="567"/>
        </w:tabs>
        <w:rPr>
          <w:szCs w:val="28"/>
        </w:rPr>
      </w:pPr>
      <w:r w:rsidRPr="004B7402">
        <w:rPr>
          <w:szCs w:val="28"/>
        </w:rPr>
        <w:t>Отдел ЖКХ и строительства администрации МР в срок до 10 числа месяца, следующего за месяцем, в котором производилось финансирование субсидий из областного бюджета, представляют в департамент ЖКХ отчёт об использовании субсидий по форме согласно приложению 1 к данному Порядку в электронном виде и на бумажных носителях.</w:t>
      </w:r>
    </w:p>
    <w:p w:rsidR="003E1B98" w:rsidRPr="004B7402" w:rsidRDefault="003E1B98" w:rsidP="004B7402">
      <w:pPr>
        <w:pStyle w:val="12"/>
        <w:tabs>
          <w:tab w:val="left" w:pos="567"/>
        </w:tabs>
        <w:rPr>
          <w:szCs w:val="28"/>
        </w:rPr>
      </w:pPr>
      <w:r w:rsidRPr="004B7402">
        <w:rPr>
          <w:szCs w:val="28"/>
        </w:rPr>
        <w:t>Годовой отчёт об использовании субсидий предоставляется отделом ЖКХ и строительства администрации МР в департамент Ж</w:t>
      </w:r>
      <w:proofErr w:type="gramStart"/>
      <w:r w:rsidRPr="004B7402">
        <w:rPr>
          <w:szCs w:val="28"/>
        </w:rPr>
        <w:t>КХ в ср</w:t>
      </w:r>
      <w:proofErr w:type="gramEnd"/>
      <w:r w:rsidRPr="004B7402">
        <w:rPr>
          <w:szCs w:val="28"/>
        </w:rPr>
        <w:t xml:space="preserve">ок до 30 января 2013 по форме согласно приложению 1 к данному Порядку в электронном виде и на бумажных носителях. </w:t>
      </w:r>
    </w:p>
    <w:p w:rsidR="00193EEE" w:rsidRDefault="003E1B98" w:rsidP="008A22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Субсидии имеют целевое назначение. Ответственность за достоверность предоставленных сведений, расчетов и целевое использование средств субсидий возлагается на</w:t>
      </w:r>
      <w:r w:rsidR="004B7402" w:rsidRPr="004B7402">
        <w:rPr>
          <w:rFonts w:ascii="Times New Roman" w:hAnsi="Times New Roman" w:cs="Times New Roman"/>
          <w:sz w:val="28"/>
          <w:szCs w:val="28"/>
        </w:rPr>
        <w:t xml:space="preserve"> руководителей предприятий ЖКХ. </w:t>
      </w:r>
      <w:r w:rsidRPr="004B740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предоставленных сведений и отчетов в департамент Жилищно-коммунального хозяйства и инфраструктуры ЯО возлагается на отдел ЖКХ и строительства и отдел бухгалтерского учета и отчетности администрации муниципального района. </w:t>
      </w:r>
      <w:proofErr w:type="gramStart"/>
      <w:r w:rsidRPr="004B7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402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субсидий осуществляется в соответствии с</w:t>
      </w:r>
      <w:r w:rsidR="008A221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193EEE">
        <w:rPr>
          <w:rFonts w:ascii="Times New Roman" w:hAnsi="Times New Roman" w:cs="Times New Roman"/>
          <w:sz w:val="28"/>
          <w:szCs w:val="28"/>
        </w:rPr>
        <w:t>.</w:t>
      </w:r>
    </w:p>
    <w:p w:rsidR="00193EEE" w:rsidRPr="00193EEE" w:rsidRDefault="00193EEE" w:rsidP="00193EEE">
      <w:pPr>
        <w:pStyle w:val="11"/>
      </w:pPr>
      <w:r w:rsidRPr="00193EEE">
        <w:t>Задачи и результаты ВЦП с детализацией по полугодиям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560"/>
        <w:gridCol w:w="1422"/>
        <w:gridCol w:w="1560"/>
        <w:gridCol w:w="1554"/>
      </w:tblGrid>
      <w:tr w:rsidR="00193EEE" w:rsidRPr="00193EEE" w:rsidTr="00A8608D">
        <w:tc>
          <w:tcPr>
            <w:tcW w:w="1780" w:type="pct"/>
            <w:vMerge w:val="restar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bCs/>
                <w:sz w:val="28"/>
                <w:szCs w:val="28"/>
              </w:rPr>
              <w:t>задачи,</w:t>
            </w:r>
            <w:r w:rsidR="00A86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3EE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  <w:tc>
          <w:tcPr>
            <w:tcW w:w="824" w:type="pct"/>
            <w:vMerge w:val="restar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7" w:type="pct"/>
            <w:gridSpan w:val="3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результата,</w:t>
            </w:r>
          </w:p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полугодиям </w:t>
            </w:r>
          </w:p>
        </w:tc>
      </w:tr>
      <w:tr w:rsidR="00E451EF" w:rsidRPr="00193EEE" w:rsidTr="00A8608D">
        <w:tc>
          <w:tcPr>
            <w:tcW w:w="1780" w:type="pct"/>
            <w:vMerge/>
          </w:tcPr>
          <w:p w:rsidR="00193EEE" w:rsidRPr="00193EEE" w:rsidRDefault="00193EE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193EEE" w:rsidRPr="00193EEE" w:rsidRDefault="00193EE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2014</w:t>
            </w: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4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822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E451EF" w:rsidRPr="00193EEE" w:rsidTr="00A8608D">
        <w:tc>
          <w:tcPr>
            <w:tcW w:w="1780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1EF" w:rsidRPr="00193EEE" w:rsidTr="00A8608D">
        <w:tc>
          <w:tcPr>
            <w:tcW w:w="1780" w:type="pct"/>
          </w:tcPr>
          <w:p w:rsidR="00193EEE" w:rsidRPr="00193EEE" w:rsidRDefault="00193EEE" w:rsidP="00E45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теплоснабжающим организациям дополнительных расходов, возникающих при обеспечении надежного теплоснабжения (отопление) объектов жилищного фонда и функционирования учреждений бюджетной сферы в части обеспечения коммунальными услугами по отоплению в соответствии с действующим законодательством</w:t>
            </w:r>
          </w:p>
        </w:tc>
        <w:tc>
          <w:tcPr>
            <w:tcW w:w="824" w:type="pct"/>
          </w:tcPr>
          <w:p w:rsidR="00193EEE" w:rsidRPr="00193EEE" w:rsidRDefault="00A7015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3EEE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</w:tc>
        <w:tc>
          <w:tcPr>
            <w:tcW w:w="751" w:type="pct"/>
          </w:tcPr>
          <w:p w:rsidR="00193EEE" w:rsidRPr="00193EEE" w:rsidRDefault="00A7015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824" w:type="pct"/>
          </w:tcPr>
          <w:p w:rsidR="00193EEE" w:rsidRPr="00193EEE" w:rsidRDefault="00A7015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822" w:type="pct"/>
          </w:tcPr>
          <w:p w:rsidR="00193EEE" w:rsidRPr="00193EEE" w:rsidRDefault="00A7015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723EB4" w:rsidRPr="00193EEE" w:rsidTr="00A8608D">
        <w:tc>
          <w:tcPr>
            <w:tcW w:w="1780" w:type="pct"/>
          </w:tcPr>
          <w:p w:rsidR="00723EB4" w:rsidRPr="00193EEE" w:rsidRDefault="00723EB4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220" w:type="pct"/>
            <w:gridSpan w:val="4"/>
          </w:tcPr>
          <w:p w:rsidR="00723EB4" w:rsidRPr="00193EEE" w:rsidRDefault="00723EB4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оздоровление жилищно-коммунальных предприятий, снижение издержек и повышение качества жилищно-коммунальных услуг.</w:t>
            </w:r>
          </w:p>
        </w:tc>
      </w:tr>
    </w:tbl>
    <w:p w:rsidR="00C952EC" w:rsidRPr="00E451EF" w:rsidRDefault="008A2219" w:rsidP="00E451E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52EC" w:rsidRPr="00E451EF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 xml:space="preserve">ГРБС - </w:t>
      </w:r>
      <w:r w:rsidRPr="00E451EF">
        <w:rPr>
          <w:rFonts w:ascii="Times New Roman" w:hAnsi="Times New Roman" w:cs="Times New Roman"/>
          <w:spacing w:val="2"/>
          <w:sz w:val="24"/>
          <w:szCs w:val="24"/>
        </w:rPr>
        <w:t>главный распорядитель бюджетных средств;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>ВИ – внебюджетные источники;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>ВЦП – ведомственная целевая программа;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>ОБ – областной  бюджет;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 xml:space="preserve">ФБ </w:t>
      </w:r>
      <w:proofErr w:type="gramStart"/>
      <w:r w:rsidRPr="00E451EF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451EF">
        <w:rPr>
          <w:rFonts w:ascii="Times New Roman" w:hAnsi="Times New Roman" w:cs="Times New Roman"/>
          <w:sz w:val="24"/>
          <w:szCs w:val="24"/>
        </w:rPr>
        <w:t>едеральный бюджет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>ОМСУ – орган местного самоуправления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>МЦП – муниципальная целевая программа;</w:t>
      </w:r>
    </w:p>
    <w:p w:rsidR="00C952EC" w:rsidRPr="00E451EF" w:rsidRDefault="00C952EC" w:rsidP="00E451EF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  <w:r w:rsidRPr="00E451EF">
        <w:rPr>
          <w:rFonts w:ascii="Times New Roman" w:hAnsi="Times New Roman" w:cs="Times New Roman"/>
          <w:sz w:val="24"/>
          <w:szCs w:val="24"/>
        </w:rPr>
        <w:t>МБ –</w:t>
      </w:r>
      <w:r w:rsidRPr="00E451EF">
        <w:rPr>
          <w:rFonts w:ascii="Times New Roman" w:hAnsi="Times New Roman" w:cs="Times New Roman"/>
          <w:spacing w:val="2"/>
          <w:sz w:val="24"/>
          <w:szCs w:val="24"/>
        </w:rPr>
        <w:t xml:space="preserve"> местный бюджет;</w:t>
      </w:r>
    </w:p>
    <w:p w:rsidR="00C952EC" w:rsidRPr="00E451EF" w:rsidRDefault="00C952EC" w:rsidP="00E451EF">
      <w:pPr>
        <w:pStyle w:val="ConsPlusNonformat"/>
        <w:widowControl/>
        <w:rPr>
          <w:rFonts w:ascii="Times New Roman" w:hAnsi="Times New Roman" w:cs="Times New Roman"/>
          <w:spacing w:val="2"/>
          <w:sz w:val="24"/>
          <w:szCs w:val="24"/>
        </w:rPr>
      </w:pPr>
      <w:r w:rsidRPr="00E451EF">
        <w:rPr>
          <w:rFonts w:ascii="Times New Roman" w:hAnsi="Times New Roman" w:cs="Times New Roman"/>
          <w:spacing w:val="2"/>
          <w:sz w:val="24"/>
          <w:szCs w:val="24"/>
        </w:rPr>
        <w:t>СПАР – структурное подразделение Администрации района.</w:t>
      </w:r>
    </w:p>
    <w:p w:rsidR="00C952EC" w:rsidRPr="004B7402" w:rsidRDefault="00C952EC" w:rsidP="009B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08D" w:rsidRDefault="00A8608D" w:rsidP="00A8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8D" w:rsidRDefault="00A8608D" w:rsidP="00A8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8D" w:rsidRDefault="00A8608D" w:rsidP="00A8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8D" w:rsidRDefault="00A8608D" w:rsidP="00A8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8D" w:rsidRDefault="00A8608D" w:rsidP="00A8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2D" w:rsidRPr="008A2219" w:rsidRDefault="008A2219" w:rsidP="00A86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A07FB" w:rsidRPr="008A2219">
        <w:rPr>
          <w:rFonts w:ascii="Times New Roman" w:hAnsi="Times New Roman" w:cs="Times New Roman"/>
          <w:b/>
          <w:sz w:val="28"/>
          <w:szCs w:val="28"/>
        </w:rPr>
        <w:t>.Приложения к ВЦП</w:t>
      </w:r>
    </w:p>
    <w:p w:rsidR="002A07FB" w:rsidRDefault="002A07FB">
      <w:pPr>
        <w:rPr>
          <w:rFonts w:ascii="Times New Roman" w:hAnsi="Times New Roman" w:cs="Times New Roman"/>
          <w:sz w:val="28"/>
          <w:szCs w:val="28"/>
        </w:rPr>
      </w:pPr>
    </w:p>
    <w:p w:rsidR="00A7015E" w:rsidRDefault="00A7015E" w:rsidP="002A07FB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A07FB" w:rsidRPr="00D04F2D" w:rsidRDefault="002A07FB" w:rsidP="002A07FB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04F2D">
        <w:rPr>
          <w:rFonts w:ascii="Times New Roman" w:hAnsi="Times New Roman" w:cs="Times New Roman"/>
        </w:rPr>
        <w:t>Форма 1</w:t>
      </w:r>
    </w:p>
    <w:p w:rsidR="002A07FB" w:rsidRPr="00D04F2D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45DAE" w:rsidRDefault="00645DAE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AE" w:rsidRDefault="00645DAE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AE" w:rsidRDefault="00645DAE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FB">
        <w:rPr>
          <w:rFonts w:ascii="Times New Roman" w:hAnsi="Times New Roman" w:cs="Times New Roman"/>
          <w:b/>
          <w:sz w:val="24"/>
          <w:szCs w:val="24"/>
        </w:rPr>
        <w:t>ФОРМЫ ОТЧЁТОВ</w:t>
      </w: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b/>
          <w:sz w:val="24"/>
          <w:szCs w:val="24"/>
        </w:rPr>
        <w:t>о реализации ведомственной целевой программы</w:t>
      </w: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ОТЧЕТ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о реализации ведомственной целевой программы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_______________________________________________________________________</w:t>
      </w:r>
      <w:r w:rsidRPr="002A07FB">
        <w:rPr>
          <w:sz w:val="24"/>
          <w:szCs w:val="24"/>
          <w:u w:val="single"/>
        </w:rPr>
        <w:t>за первое полугодие</w:t>
      </w:r>
      <w:r w:rsidRPr="002A07FB">
        <w:rPr>
          <w:sz w:val="24"/>
          <w:szCs w:val="24"/>
        </w:rPr>
        <w:t xml:space="preserve"> 20__ года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(наименование ВЦП, наименование ОИ)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(электронный адрес размещения отчёта в интернете)</w:t>
      </w:r>
    </w:p>
    <w:tbl>
      <w:tblPr>
        <w:tblW w:w="4522" w:type="pct"/>
        <w:tblLook w:val="00A0"/>
      </w:tblPr>
      <w:tblGrid>
        <w:gridCol w:w="540"/>
        <w:gridCol w:w="2077"/>
        <w:gridCol w:w="1076"/>
        <w:gridCol w:w="826"/>
        <w:gridCol w:w="1100"/>
        <w:gridCol w:w="1418"/>
        <w:gridCol w:w="1618"/>
      </w:tblGrid>
      <w:tr w:rsidR="002A07FB" w:rsidRPr="002A07FB" w:rsidTr="00193EEE">
        <w:trPr>
          <w:trHeight w:val="9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 цели, задачи, результата, мероприятия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результата,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Pr="002A07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счёт средств местного  бюджета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отклонений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от плановых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по устранению</w:t>
            </w:r>
          </w:p>
        </w:tc>
      </w:tr>
      <w:tr w:rsidR="002A07FB" w:rsidRPr="002A07FB" w:rsidTr="00193EEE">
        <w:trPr>
          <w:trHeight w:val="26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A07FB" w:rsidRPr="002A07FB" w:rsidTr="00193EEE">
        <w:trPr>
          <w:trHeight w:val="41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1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Мероприятия**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2A07F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1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1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40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ВЦП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015E" w:rsidRDefault="00A7015E" w:rsidP="00A7015E">
      <w:pPr>
        <w:rPr>
          <w:sz w:val="20"/>
          <w:szCs w:val="20"/>
        </w:rPr>
      </w:pPr>
    </w:p>
    <w:p w:rsidR="002A07FB" w:rsidRPr="008A2219" w:rsidRDefault="002A07FB" w:rsidP="00A7015E">
      <w:pPr>
        <w:jc w:val="right"/>
        <w:rPr>
          <w:rFonts w:ascii="Times New Roman" w:hAnsi="Times New Roman" w:cs="Times New Roman"/>
          <w:sz w:val="20"/>
          <w:szCs w:val="20"/>
        </w:rPr>
      </w:pPr>
      <w:r w:rsidRPr="008A2219">
        <w:rPr>
          <w:rFonts w:ascii="Times New Roman" w:hAnsi="Times New Roman" w:cs="Times New Roman"/>
          <w:sz w:val="20"/>
          <w:szCs w:val="20"/>
        </w:rPr>
        <w:t>Форма 2</w:t>
      </w:r>
    </w:p>
    <w:p w:rsidR="002A07FB" w:rsidRPr="002A07FB" w:rsidRDefault="002A07FB" w:rsidP="002A0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ОТЧЕТ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о реализации ведомственной целевой программы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_______________________________________________________________________________</w:t>
      </w:r>
      <w:r w:rsidRPr="002A07FB">
        <w:rPr>
          <w:sz w:val="24"/>
          <w:szCs w:val="24"/>
          <w:u w:val="single"/>
        </w:rPr>
        <w:t>за</w:t>
      </w:r>
      <w:r w:rsidRPr="002A07FB">
        <w:rPr>
          <w:sz w:val="24"/>
          <w:szCs w:val="24"/>
        </w:rPr>
        <w:t xml:space="preserve"> 20 __ год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(наименование ВЦП, наименование ОИ)</w:t>
      </w:r>
    </w:p>
    <w:p w:rsidR="002A07FB" w:rsidRPr="002A07FB" w:rsidRDefault="002A07FB" w:rsidP="002A07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07FB" w:rsidRPr="002A07FB" w:rsidRDefault="002A07FB" w:rsidP="002A07FB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ВЦ</w:t>
      </w:r>
      <w:proofErr w:type="gramStart"/>
      <w:r w:rsidRPr="002A07FB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2A07FB">
        <w:rPr>
          <w:rFonts w:ascii="Times New Roman" w:hAnsi="Times New Roman" w:cs="Times New Roman"/>
          <w:sz w:val="24"/>
          <w:szCs w:val="24"/>
        </w:rPr>
        <w:t>электронный адрес размещения отчёта в интернете)</w:t>
      </w:r>
    </w:p>
    <w:p w:rsidR="002A07FB" w:rsidRPr="002A07FB" w:rsidRDefault="002A07FB" w:rsidP="002A07FB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719"/>
        <w:gridCol w:w="1583"/>
        <w:gridCol w:w="1256"/>
        <w:gridCol w:w="1229"/>
        <w:gridCol w:w="1679"/>
        <w:gridCol w:w="924"/>
        <w:gridCol w:w="871"/>
        <w:gridCol w:w="1309"/>
      </w:tblGrid>
      <w:tr w:rsidR="002A07FB" w:rsidRPr="002A07FB" w:rsidTr="002A07FB">
        <w:trPr>
          <w:trHeight w:val="72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цели, задачи, результата, мероприятия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бюджетного ассигнования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результата,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отклонений от плановых значений</w:t>
            </w:r>
          </w:p>
        </w:tc>
      </w:tr>
      <w:tr w:rsidR="002A07FB" w:rsidRPr="002A07FB" w:rsidTr="002A07FB">
        <w:trPr>
          <w:trHeight w:val="36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68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33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A07FB" w:rsidRPr="002A07FB" w:rsidTr="002A07FB">
        <w:trPr>
          <w:trHeight w:val="203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цели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203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243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7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17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ОБ 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948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ФБ****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7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МБ****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7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ВИ****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203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20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201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263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268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21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0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182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248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2.1.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248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70"/>
        </w:trPr>
        <w:tc>
          <w:tcPr>
            <w:tcW w:w="18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ВЦП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07FB" w:rsidRPr="002A07FB" w:rsidTr="002A07FB">
        <w:trPr>
          <w:trHeight w:val="170"/>
        </w:trPr>
        <w:tc>
          <w:tcPr>
            <w:tcW w:w="18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ОБ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70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ФБ*****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70"/>
        </w:trPr>
        <w:tc>
          <w:tcPr>
            <w:tcW w:w="1859" w:type="pct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МБ*****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2A07FB">
        <w:trPr>
          <w:trHeight w:val="170"/>
        </w:trPr>
        <w:tc>
          <w:tcPr>
            <w:tcW w:w="18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ВИ*****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07FB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действующей ВЦП (производится в соответствии с Методикой оценки эффективности и результативности реализации ВЦП, приведённой в приложении 14 к Положению о программно-целевом планировании и контроле в органах местного самоуправления и структурных подразделениях Администрации района</w:t>
      </w:r>
      <w:proofErr w:type="gramEnd"/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Style w:val="af"/>
          <w:rFonts w:ascii="Times New Roman" w:hAnsi="Times New Roman"/>
          <w:sz w:val="24"/>
          <w:szCs w:val="24"/>
        </w:rPr>
        <w:t>*</w:t>
      </w:r>
      <w:r w:rsidRPr="002A07FB">
        <w:rPr>
          <w:rFonts w:ascii="Times New Roman" w:hAnsi="Times New Roman" w:cs="Times New Roman"/>
          <w:sz w:val="24"/>
          <w:szCs w:val="24"/>
        </w:rPr>
        <w:t xml:space="preserve"> Графы указываются в случае наличия подпрограмм.</w:t>
      </w:r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 xml:space="preserve">** Информация в разрезе мероприятий приводятся в случае отклонений фактических данных задачи </w:t>
      </w:r>
      <w:proofErr w:type="gramStart"/>
      <w:r w:rsidRPr="002A07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07FB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*** Графа вводится при наличии других источников финансирования, кроме областного бюджета.</w:t>
      </w:r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*</w:t>
      </w:r>
      <w:r w:rsidRPr="002A07FB">
        <w:rPr>
          <w:rStyle w:val="af"/>
          <w:rFonts w:ascii="Times New Roman" w:hAnsi="Times New Roman"/>
          <w:sz w:val="24"/>
          <w:szCs w:val="24"/>
        </w:rPr>
        <w:t>*</w:t>
      </w:r>
      <w:r w:rsidRPr="002A07FB">
        <w:rPr>
          <w:rFonts w:ascii="Times New Roman" w:hAnsi="Times New Roman" w:cs="Times New Roman"/>
          <w:sz w:val="24"/>
          <w:szCs w:val="24"/>
        </w:rPr>
        <w:t>*** Графа указывается при условии выделения средств из данного источника.</w:t>
      </w:r>
    </w:p>
    <w:p w:rsidR="002A07FB" w:rsidRPr="002A07FB" w:rsidRDefault="002A07FB" w:rsidP="008A2219">
      <w:pPr>
        <w:pStyle w:val="11"/>
        <w:jc w:val="left"/>
        <w:rPr>
          <w:sz w:val="24"/>
          <w:szCs w:val="24"/>
        </w:rPr>
      </w:pPr>
      <w:r w:rsidRPr="002A07FB">
        <w:rPr>
          <w:sz w:val="24"/>
          <w:szCs w:val="24"/>
        </w:rPr>
        <w:t>Используемые сокращения:</w:t>
      </w: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ВИ – внебюджетные источники;</w:t>
      </w:r>
    </w:p>
    <w:p w:rsidR="002A07FB" w:rsidRPr="008A2219" w:rsidRDefault="00645DAE" w:rsidP="008A221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ВЦП – ведомственная</w:t>
      </w:r>
      <w:r w:rsidR="002A07FB" w:rsidRPr="008A2219">
        <w:rPr>
          <w:rFonts w:ascii="Times New Roman" w:hAnsi="Times New Roman" w:cs="Times New Roman"/>
        </w:rPr>
        <w:t xml:space="preserve"> целевая программа;</w:t>
      </w: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ОИ – ответственный исполнитель ВЦП;</w:t>
      </w: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ОБ – областной бюджет;</w:t>
      </w: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МБ –</w:t>
      </w:r>
      <w:r w:rsidRPr="008A2219">
        <w:rPr>
          <w:rFonts w:ascii="Times New Roman" w:hAnsi="Times New Roman" w:cs="Times New Roman"/>
          <w:spacing w:val="2"/>
        </w:rPr>
        <w:t xml:space="preserve"> местный бюджет;</w:t>
      </w:r>
    </w:p>
    <w:p w:rsidR="002A07FB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ФБ - федеральный бюджет.</w:t>
      </w: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Default="00B83932" w:rsidP="008A2219">
      <w:pPr>
        <w:pStyle w:val="ae"/>
        <w:rPr>
          <w:rFonts w:ascii="Times New Roman" w:hAnsi="Times New Roman" w:cs="Times New Roman"/>
        </w:rPr>
      </w:pPr>
    </w:p>
    <w:p w:rsidR="00B83932" w:rsidRPr="00B83932" w:rsidRDefault="00B83932" w:rsidP="00B83932">
      <w:pPr>
        <w:pStyle w:val="11"/>
        <w:rPr>
          <w:sz w:val="18"/>
          <w:szCs w:val="18"/>
        </w:rPr>
      </w:pPr>
      <w:r w:rsidRPr="00B83932">
        <w:rPr>
          <w:sz w:val="18"/>
          <w:szCs w:val="18"/>
        </w:rPr>
        <w:t>Методика</w:t>
      </w:r>
    </w:p>
    <w:p w:rsidR="00B83932" w:rsidRPr="00B83932" w:rsidRDefault="00B83932" w:rsidP="00B83932">
      <w:pPr>
        <w:pStyle w:val="11"/>
        <w:rPr>
          <w:sz w:val="18"/>
          <w:szCs w:val="18"/>
        </w:rPr>
      </w:pPr>
      <w:r w:rsidRPr="00B83932">
        <w:rPr>
          <w:sz w:val="18"/>
          <w:szCs w:val="18"/>
        </w:rPr>
        <w:t>оценки эффективности и результативности реализации ведомственной целевой программы</w:t>
      </w:r>
    </w:p>
    <w:p w:rsidR="00B83932" w:rsidRPr="00B83932" w:rsidRDefault="00B83932" w:rsidP="00B83932">
      <w:pPr>
        <w:pStyle w:val="13"/>
        <w:ind w:firstLine="709"/>
        <w:jc w:val="both"/>
        <w:rPr>
          <w:rFonts w:cs="Times New Roman"/>
          <w:sz w:val="18"/>
        </w:rPr>
      </w:pPr>
      <w:r w:rsidRPr="00B83932">
        <w:rPr>
          <w:rFonts w:cs="Times New Roman"/>
          <w:sz w:val="18"/>
        </w:rPr>
        <w:t>Данная Методика применяется для оценки результативности и эффективности реализации ведомственной целевой программы (далее – ВЦП).</w:t>
      </w:r>
    </w:p>
    <w:p w:rsidR="00B83932" w:rsidRPr="00B83932" w:rsidRDefault="00B83932" w:rsidP="00B83932">
      <w:pPr>
        <w:pStyle w:val="13"/>
        <w:ind w:firstLine="709"/>
        <w:jc w:val="both"/>
        <w:rPr>
          <w:rFonts w:cs="Times New Roman"/>
          <w:sz w:val="18"/>
        </w:rPr>
      </w:pPr>
      <w:r w:rsidRPr="00B83932">
        <w:rPr>
          <w:rFonts w:cs="Times New Roman"/>
          <w:sz w:val="18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B83932" w:rsidRPr="00B83932" w:rsidRDefault="00B83932" w:rsidP="00B83932">
      <w:pPr>
        <w:pStyle w:val="13"/>
        <w:tabs>
          <w:tab w:val="left" w:pos="993"/>
        </w:tabs>
        <w:ind w:firstLine="709"/>
        <w:jc w:val="both"/>
        <w:rPr>
          <w:rFonts w:cs="Times New Roman"/>
          <w:sz w:val="18"/>
        </w:rPr>
      </w:pPr>
      <w:r w:rsidRPr="00B83932">
        <w:rPr>
          <w:rFonts w:cs="Times New Roman"/>
          <w:sz w:val="18"/>
        </w:rPr>
        <w:t>плановые значения – это значения, предусмотренные ВЦП с учетом последних утвержденных изменений ВЦП на момент отчета;</w:t>
      </w:r>
    </w:p>
    <w:p w:rsidR="00B83932" w:rsidRPr="00B83932" w:rsidRDefault="00B83932" w:rsidP="00B83932">
      <w:pPr>
        <w:pStyle w:val="13"/>
        <w:tabs>
          <w:tab w:val="left" w:pos="993"/>
        </w:tabs>
        <w:ind w:firstLine="709"/>
        <w:jc w:val="both"/>
        <w:rPr>
          <w:rFonts w:cs="Times New Roman"/>
          <w:sz w:val="18"/>
        </w:rPr>
      </w:pPr>
      <w:r w:rsidRPr="00B83932">
        <w:rPr>
          <w:rFonts w:cs="Times New Roman"/>
          <w:sz w:val="18"/>
        </w:rPr>
        <w:t>фактические значения – это значения, представляемые ответственным исполнителем ВЦП, как фактически достигнутые исполнителями ВЦП в ходе ее реализации.</w:t>
      </w:r>
    </w:p>
    <w:p w:rsidR="00B83932" w:rsidRPr="00B83932" w:rsidRDefault="00B83932" w:rsidP="00B83932">
      <w:pPr>
        <w:rPr>
          <w:rStyle w:val="14"/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Style w:val="14"/>
          <w:rFonts w:ascii="Times New Roman" w:hAnsi="Times New Roman" w:cs="Times New Roman"/>
          <w:bCs/>
          <w:spacing w:val="2"/>
          <w:sz w:val="18"/>
          <w:szCs w:val="18"/>
        </w:rPr>
        <w:t xml:space="preserve">Результативность исполнения </w:t>
      </w:r>
      <w:r w:rsidRPr="00B83932">
        <w:rPr>
          <w:rFonts w:ascii="Times New Roman" w:hAnsi="Times New Roman" w:cs="Times New Roman"/>
          <w:sz w:val="18"/>
          <w:szCs w:val="18"/>
        </w:rPr>
        <w:t>ВЦП</w:t>
      </w:r>
      <w:r w:rsidRPr="00B83932">
        <w:rPr>
          <w:rStyle w:val="14"/>
          <w:rFonts w:ascii="Times New Roman" w:hAnsi="Times New Roman" w:cs="Times New Roman"/>
          <w:spacing w:val="2"/>
          <w:sz w:val="18"/>
          <w:szCs w:val="18"/>
        </w:rPr>
        <w:t xml:space="preserve">– </w:t>
      </w:r>
      <w:proofErr w:type="gramStart"/>
      <w:r w:rsidRPr="00B83932">
        <w:rPr>
          <w:rStyle w:val="14"/>
          <w:rFonts w:ascii="Times New Roman" w:hAnsi="Times New Roman" w:cs="Times New Roman"/>
          <w:spacing w:val="2"/>
          <w:sz w:val="18"/>
          <w:szCs w:val="18"/>
        </w:rPr>
        <w:t>ст</w:t>
      </w:r>
      <w:proofErr w:type="gramEnd"/>
      <w:r w:rsidRPr="00B83932">
        <w:rPr>
          <w:rStyle w:val="14"/>
          <w:rFonts w:ascii="Times New Roman" w:hAnsi="Times New Roman" w:cs="Times New Roman"/>
          <w:spacing w:val="2"/>
          <w:sz w:val="18"/>
          <w:szCs w:val="18"/>
        </w:rPr>
        <w:t xml:space="preserve">епень достижения запланированных результатов по задачам </w:t>
      </w:r>
      <w:r w:rsidRPr="00B83932">
        <w:rPr>
          <w:rFonts w:ascii="Times New Roman" w:hAnsi="Times New Roman" w:cs="Times New Roman"/>
          <w:sz w:val="18"/>
          <w:szCs w:val="18"/>
        </w:rPr>
        <w:t>ВЦП</w:t>
      </w:r>
      <w:r w:rsidRPr="00B83932">
        <w:rPr>
          <w:rStyle w:val="14"/>
          <w:rFonts w:ascii="Times New Roman" w:hAnsi="Times New Roman" w:cs="Times New Roman"/>
          <w:spacing w:val="2"/>
          <w:sz w:val="18"/>
          <w:szCs w:val="18"/>
        </w:rPr>
        <w:t xml:space="preserve"> за отчетный период.</w:t>
      </w:r>
    </w:p>
    <w:p w:rsidR="00B83932" w:rsidRPr="00B83932" w:rsidRDefault="00B83932" w:rsidP="00B83932">
      <w:pPr>
        <w:spacing w:after="33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Style w:val="14"/>
          <w:rFonts w:ascii="Times New Roman" w:hAnsi="Times New Roman" w:cs="Times New Roman"/>
          <w:spacing w:val="2"/>
          <w:sz w:val="18"/>
          <w:szCs w:val="18"/>
        </w:rPr>
        <w:t>Алгоритм расчёта индекса</w:t>
      </w:r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результативности исполнения ВЦП (</w:t>
      </w:r>
      <w:r w:rsidRPr="00B83932">
        <w:rPr>
          <w:rFonts w:ascii="Times New Roman" w:hAnsi="Times New Roman" w:cs="Times New Roman"/>
          <w:spacing w:val="2"/>
          <w:sz w:val="18"/>
          <w:szCs w:val="18"/>
          <w:lang w:val="en-US"/>
        </w:rPr>
        <w:t>R</w:t>
      </w:r>
      <w:proofErr w:type="spellStart"/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</w:rPr>
        <w:t>исп</w:t>
      </w:r>
      <w:proofErr w:type="spellEnd"/>
      <w:r w:rsidRPr="00B83932">
        <w:rPr>
          <w:rFonts w:ascii="Times New Roman" w:hAnsi="Times New Roman" w:cs="Times New Roman"/>
          <w:spacing w:val="2"/>
          <w:sz w:val="18"/>
          <w:szCs w:val="18"/>
        </w:rPr>
        <w:t>)</w:t>
      </w:r>
      <w:proofErr w:type="gramStart"/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83932">
        <w:rPr>
          <w:rStyle w:val="14"/>
          <w:rFonts w:ascii="Times New Roman" w:hAnsi="Times New Roman" w:cs="Times New Roman"/>
          <w:spacing w:val="2"/>
          <w:sz w:val="18"/>
          <w:szCs w:val="18"/>
        </w:rPr>
        <w:t>:</w:t>
      </w:r>
      <w:proofErr w:type="gramEnd"/>
    </w:p>
    <w:p w:rsidR="00B83932" w:rsidRPr="00B83932" w:rsidRDefault="00B83932" w:rsidP="00B83932">
      <w:pPr>
        <w:tabs>
          <w:tab w:val="left" w:pos="1276"/>
        </w:tabs>
        <w:spacing w:before="33" w:after="33"/>
        <w:rPr>
          <w:rFonts w:ascii="Times New Roman" w:hAnsi="Times New Roman" w:cs="Times New Roman"/>
          <w:sz w:val="18"/>
          <w:szCs w:val="18"/>
        </w:rPr>
      </w:pPr>
      <w:r w:rsidRPr="00B83932">
        <w:rPr>
          <w:rFonts w:ascii="Times New Roman" w:hAnsi="Times New Roman" w:cs="Times New Roman"/>
          <w:sz w:val="18"/>
          <w:szCs w:val="18"/>
        </w:rPr>
        <w:t>- определяется индекс результативности исполнения каждой задачи (</w:t>
      </w:r>
      <w:proofErr w:type="gramStart"/>
      <w:r w:rsidRPr="00B83932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proofErr w:type="gramEnd"/>
      <w:r w:rsidRPr="00B83932">
        <w:rPr>
          <w:rFonts w:ascii="Times New Roman" w:hAnsi="Times New Roman" w:cs="Times New Roman"/>
          <w:sz w:val="18"/>
          <w:szCs w:val="18"/>
          <w:vertAlign w:val="subscript"/>
        </w:rPr>
        <w:t>з</w:t>
      </w:r>
      <w:proofErr w:type="spellEnd"/>
      <w:r w:rsidRPr="00B83932">
        <w:rPr>
          <w:rFonts w:ascii="Times New Roman" w:hAnsi="Times New Roman" w:cs="Times New Roman"/>
          <w:sz w:val="18"/>
          <w:szCs w:val="18"/>
        </w:rPr>
        <w:t>) по формуле:</w:t>
      </w:r>
    </w:p>
    <w:p w:rsidR="00B83932" w:rsidRPr="00B83932" w:rsidRDefault="00B83932" w:rsidP="00B83932">
      <w:pPr>
        <w:spacing w:before="33" w:after="33"/>
        <w:jc w:val="center"/>
        <w:rPr>
          <w:rFonts w:ascii="Times New Roman" w:hAnsi="Times New Roman" w:cs="Times New Roman"/>
          <w:spacing w:val="2"/>
          <w:sz w:val="18"/>
          <w:szCs w:val="1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18"/>
                <w:szCs w:val="1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18"/>
                <w:szCs w:val="18"/>
              </w:rPr>
              <m:t>з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18"/>
            <w:szCs w:val="1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18"/>
                    <w:szCs w:val="18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spacing w:val="2"/>
                        <w:sz w:val="18"/>
                        <w:szCs w:val="1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18"/>
                        <w:szCs w:val="1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Times New Roman" w:cs="Times New Roman"/>
                        <w:spacing w:val="2"/>
                        <w:sz w:val="18"/>
                        <w:szCs w:val="18"/>
                        <w:lang w:val="en-US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pacing w:val="2"/>
                        <w:sz w:val="18"/>
                        <w:szCs w:val="18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18"/>
                    <w:szCs w:val="18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18"/>
                <w:szCs w:val="18"/>
                <w:lang w:val="en-US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18"/>
                    <w:szCs w:val="1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18"/>
                    <w:szCs w:val="18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18"/>
                <w:szCs w:val="18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18"/>
            <w:szCs w:val="18"/>
            <w:lang w:val="en-US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18"/>
            <w:szCs w:val="18"/>
            <w:lang w:val="en-US"/>
          </w:rPr>
          <m:t xml:space="preserve">100% </m:t>
        </m:r>
      </m:oMath>
      <w:r w:rsidRPr="00B83932">
        <w:rPr>
          <w:rFonts w:ascii="Times New Roman" w:hAnsi="Times New Roman" w:cs="Times New Roman"/>
          <w:spacing w:val="2"/>
          <w:sz w:val="18"/>
          <w:szCs w:val="18"/>
          <w:lang w:val="en-US"/>
        </w:rPr>
        <w:t>,</w:t>
      </w:r>
    </w:p>
    <w:p w:rsidR="00B83932" w:rsidRPr="00B83932" w:rsidRDefault="00B83932" w:rsidP="00B83932">
      <w:pPr>
        <w:spacing w:before="33" w:after="33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</w:rPr>
        <w:t>где</w:t>
      </w:r>
    </w:p>
    <w:p w:rsidR="00B83932" w:rsidRPr="00B83932" w:rsidRDefault="00B83932" w:rsidP="00B83932">
      <w:pPr>
        <w:spacing w:before="33" w:after="33"/>
        <w:ind w:left="709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Х </w:t>
      </w:r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</w:rPr>
        <w:t xml:space="preserve">факт </w:t>
      </w:r>
      <w:proofErr w:type="gramStart"/>
      <w:r w:rsidRPr="00B83932">
        <w:rPr>
          <w:rFonts w:ascii="Times New Roman" w:hAnsi="Times New Roman" w:cs="Times New Roman"/>
          <w:spacing w:val="2"/>
          <w:sz w:val="18"/>
          <w:szCs w:val="18"/>
        </w:rPr>
        <w:t>–ф</w:t>
      </w:r>
      <w:proofErr w:type="gramEnd"/>
      <w:r w:rsidRPr="00B83932">
        <w:rPr>
          <w:rFonts w:ascii="Times New Roman" w:hAnsi="Times New Roman" w:cs="Times New Roman"/>
          <w:spacing w:val="2"/>
          <w:sz w:val="18"/>
          <w:szCs w:val="18"/>
        </w:rPr>
        <w:t>актическое значение результата задачи на отчетный период;</w:t>
      </w:r>
    </w:p>
    <w:p w:rsidR="00B83932" w:rsidRPr="00B83932" w:rsidRDefault="00B83932" w:rsidP="00B83932">
      <w:pPr>
        <w:spacing w:before="33" w:after="33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Х </w:t>
      </w:r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</w:rPr>
        <w:t xml:space="preserve">план </w:t>
      </w:r>
      <w:proofErr w:type="gramStart"/>
      <w:r w:rsidRPr="00B83932">
        <w:rPr>
          <w:rFonts w:ascii="Times New Roman" w:hAnsi="Times New Roman" w:cs="Times New Roman"/>
          <w:spacing w:val="2"/>
          <w:sz w:val="18"/>
          <w:szCs w:val="18"/>
        </w:rPr>
        <w:t>–п</w:t>
      </w:r>
      <w:proofErr w:type="gramEnd"/>
      <w:r w:rsidRPr="00B83932">
        <w:rPr>
          <w:rFonts w:ascii="Times New Roman" w:hAnsi="Times New Roman" w:cs="Times New Roman"/>
          <w:spacing w:val="2"/>
          <w:sz w:val="18"/>
          <w:szCs w:val="18"/>
        </w:rPr>
        <w:t>лановое значение результата задачи на отчетный период;</w:t>
      </w:r>
    </w:p>
    <w:p w:rsidR="00B83932" w:rsidRPr="00B83932" w:rsidRDefault="00B83932" w:rsidP="00B83932">
      <w:pPr>
        <w:spacing w:before="33" w:after="33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  <w:lang w:val="en-US"/>
        </w:rPr>
        <w:t>n</w:t>
      </w:r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– </w:t>
      </w:r>
      <w:proofErr w:type="gramStart"/>
      <w:r w:rsidRPr="00B83932">
        <w:rPr>
          <w:rFonts w:ascii="Times New Roman" w:hAnsi="Times New Roman" w:cs="Times New Roman"/>
          <w:spacing w:val="2"/>
          <w:sz w:val="18"/>
          <w:szCs w:val="18"/>
        </w:rPr>
        <w:t>количество</w:t>
      </w:r>
      <w:proofErr w:type="gramEnd"/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результатов задачи, запланированных на отчетный период;</w:t>
      </w:r>
    </w:p>
    <w:p w:rsidR="00B83932" w:rsidRPr="00B83932" w:rsidRDefault="00B83932" w:rsidP="00B83932">
      <w:pPr>
        <w:tabs>
          <w:tab w:val="left" w:pos="1134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B83932">
        <w:rPr>
          <w:rFonts w:ascii="Times New Roman" w:hAnsi="Times New Roman" w:cs="Times New Roman"/>
          <w:sz w:val="18"/>
          <w:szCs w:val="18"/>
        </w:rPr>
        <w:t>-индекс результативности исполнения ВЦП определяется по формуле:</w:t>
      </w:r>
    </w:p>
    <w:p w:rsidR="00B83932" w:rsidRPr="00B83932" w:rsidRDefault="00B83932" w:rsidP="00B83932">
      <w:pPr>
        <w:spacing w:before="33" w:after="33"/>
        <w:jc w:val="center"/>
        <w:rPr>
          <w:rFonts w:ascii="Times New Roman" w:hAnsi="Times New Roman" w:cs="Times New Roman"/>
          <w:spacing w:val="2"/>
          <w:sz w:val="18"/>
          <w:szCs w:val="1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18"/>
                <w:szCs w:val="18"/>
              </w:rPr>
              <m:t>R</m:t>
            </m:r>
          </m:e>
          <m:sub>
            <m:r>
              <w:rPr>
                <w:rFonts w:ascii="Times New Roman" w:hAnsi="Times New Roman" w:cs="Times New Roman"/>
                <w:spacing w:val="2"/>
                <w:sz w:val="18"/>
                <w:szCs w:val="18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18"/>
            <w:szCs w:val="1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18"/>
                <w:szCs w:val="1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18"/>
                    <w:szCs w:val="1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18"/>
                    <w:szCs w:val="18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18"/>
                    <w:szCs w:val="1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18"/>
                    <w:szCs w:val="1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18"/>
                        <w:szCs w:val="18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pacing w:val="2"/>
                        <w:sz w:val="18"/>
                        <w:szCs w:val="1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18"/>
                <w:szCs w:val="18"/>
              </w:rPr>
              <m:t>m</m:t>
            </m:r>
          </m:den>
        </m:f>
      </m:oMath>
      <w:r w:rsidRPr="00B83932">
        <w:rPr>
          <w:rFonts w:ascii="Times New Roman" w:hAnsi="Times New Roman" w:cs="Times New Roman"/>
          <w:spacing w:val="2"/>
          <w:sz w:val="18"/>
          <w:szCs w:val="18"/>
        </w:rPr>
        <w:t>,</w:t>
      </w:r>
    </w:p>
    <w:p w:rsidR="00B83932" w:rsidRPr="00B83932" w:rsidRDefault="00B83932" w:rsidP="00B83932">
      <w:pPr>
        <w:spacing w:before="33" w:after="33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</w:rPr>
        <w:t>где</w:t>
      </w:r>
    </w:p>
    <w:p w:rsidR="00B83932" w:rsidRPr="00B83932" w:rsidRDefault="00B83932" w:rsidP="00B83932">
      <w:pPr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  <w:lang w:val="en-US"/>
        </w:rPr>
        <w:t>R</w:t>
      </w:r>
      <w:proofErr w:type="spellStart"/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</w:rPr>
        <w:t>з</w:t>
      </w:r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  <w:lang w:val="en-US"/>
        </w:rPr>
        <w:t>i</w:t>
      </w:r>
      <w:proofErr w:type="spellEnd"/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- показатель результативности исполнения задач;</w:t>
      </w:r>
    </w:p>
    <w:p w:rsidR="00B83932" w:rsidRPr="00B83932" w:rsidRDefault="00B83932" w:rsidP="00B83932">
      <w:pPr>
        <w:spacing w:before="33" w:after="33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position w:val="-5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.05pt;height:11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3F6CEE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3F6CEE&quot;&gt;&lt;m:oMathPara&gt;&lt;m:oMath&gt;&lt;m:r&gt;&lt;m:rPr&gt;&lt;m:sty m:val=&quot;p&quot;/&gt;&lt;/m:rPr&gt;&lt;w:rPr&gt;&lt;w:rFonts w:ascii=&quot;Cambria Math&quot;/&gt;&lt;wx:font wx:val=&quot;Cambria Math&quot;/&gt;&lt;w:spacing w:val=&quot;2&quot;/&gt;&lt;w:sz w:val=&quot;20&quot;/&gt;&lt;w:sz-cs w:val=&quot;20&quot;/&gt;&lt;w:lang w:val=&quot;EN-US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83932">
        <w:rPr>
          <w:rFonts w:ascii="Times New Roman" w:hAnsi="Times New Roman" w:cs="Times New Roman"/>
          <w:i/>
          <w:spacing w:val="2"/>
          <w:sz w:val="18"/>
          <w:szCs w:val="18"/>
        </w:rPr>
        <w:t xml:space="preserve"> – </w:t>
      </w:r>
      <w:r w:rsidRPr="00B83932">
        <w:rPr>
          <w:rFonts w:ascii="Times New Roman" w:hAnsi="Times New Roman" w:cs="Times New Roman"/>
          <w:spacing w:val="2"/>
          <w:sz w:val="18"/>
          <w:szCs w:val="18"/>
        </w:rPr>
        <w:t>количество задач, реализуемых в отчётном периоде.</w:t>
      </w:r>
    </w:p>
    <w:p w:rsidR="00B83932" w:rsidRPr="00B83932" w:rsidRDefault="00B83932" w:rsidP="00B83932">
      <w:pPr>
        <w:spacing w:before="33" w:after="33"/>
        <w:rPr>
          <w:rFonts w:ascii="Times New Roman" w:hAnsi="Times New Roman" w:cs="Times New Roman"/>
          <w:spacing w:val="2"/>
          <w:sz w:val="18"/>
          <w:szCs w:val="18"/>
        </w:rPr>
      </w:pPr>
    </w:p>
    <w:p w:rsidR="00B83932" w:rsidRPr="00B83932" w:rsidRDefault="00B83932" w:rsidP="00B83932">
      <w:pPr>
        <w:pStyle w:val="11"/>
        <w:rPr>
          <w:sz w:val="18"/>
          <w:szCs w:val="18"/>
        </w:rPr>
      </w:pPr>
      <w:r w:rsidRPr="00B83932">
        <w:rPr>
          <w:sz w:val="18"/>
          <w:szCs w:val="18"/>
        </w:rPr>
        <w:t>Критерии оценки результативности исполнения ВЦП:</w:t>
      </w:r>
    </w:p>
    <w:tbl>
      <w:tblPr>
        <w:tblW w:w="5000" w:type="pct"/>
        <w:tblLook w:val="04A0"/>
      </w:tblPr>
      <w:tblGrid>
        <w:gridCol w:w="5147"/>
        <w:gridCol w:w="4423"/>
      </w:tblGrid>
      <w:tr w:rsidR="00B83932" w:rsidRPr="00B83932" w:rsidTr="002009D0">
        <w:tc>
          <w:tcPr>
            <w:tcW w:w="2689" w:type="pct"/>
          </w:tcPr>
          <w:p w:rsidR="00B83932" w:rsidRPr="00B83932" w:rsidRDefault="00B83932" w:rsidP="002009D0">
            <w:pPr>
              <w:pStyle w:val="ab"/>
              <w:jc w:val="center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B83932">
              <w:rPr>
                <w:sz w:val="18"/>
                <w:szCs w:val="18"/>
              </w:rPr>
              <w:t>R</w:t>
            </w:r>
            <w:proofErr w:type="gramEnd"/>
            <w:r w:rsidRPr="00B83932">
              <w:rPr>
                <w:sz w:val="18"/>
                <w:szCs w:val="18"/>
              </w:rPr>
              <w:t>исп</w:t>
            </w:r>
            <w:proofErr w:type="spellEnd"/>
            <w:r w:rsidRPr="00B83932">
              <w:rPr>
                <w:sz w:val="18"/>
                <w:szCs w:val="18"/>
              </w:rPr>
              <w:t xml:space="preserve">)                                                 </w:t>
            </w:r>
          </w:p>
        </w:tc>
        <w:tc>
          <w:tcPr>
            <w:tcW w:w="2311" w:type="pct"/>
          </w:tcPr>
          <w:p w:rsidR="00B83932" w:rsidRPr="00B83932" w:rsidRDefault="00B83932" w:rsidP="002009D0">
            <w:pPr>
              <w:pStyle w:val="ab"/>
              <w:jc w:val="center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Результативность</w:t>
            </w:r>
          </w:p>
          <w:p w:rsidR="00B83932" w:rsidRPr="00B83932" w:rsidRDefault="00B83932" w:rsidP="002009D0">
            <w:pPr>
              <w:pStyle w:val="ab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исполнения программы</w:t>
            </w:r>
          </w:p>
        </w:tc>
      </w:tr>
      <w:tr w:rsidR="00B83932" w:rsidRPr="00B83932" w:rsidTr="002009D0">
        <w:tc>
          <w:tcPr>
            <w:tcW w:w="2689" w:type="pct"/>
          </w:tcPr>
          <w:p w:rsidR="00B83932" w:rsidRPr="00B83932" w:rsidRDefault="00B83932" w:rsidP="002009D0">
            <w:pPr>
              <w:pStyle w:val="ab"/>
              <w:rPr>
                <w:sz w:val="18"/>
                <w:szCs w:val="18"/>
              </w:rPr>
            </w:pPr>
            <w:proofErr w:type="spellStart"/>
            <w:proofErr w:type="gramStart"/>
            <w:r w:rsidRPr="00B83932">
              <w:rPr>
                <w:sz w:val="18"/>
                <w:szCs w:val="18"/>
              </w:rPr>
              <w:t>R</w:t>
            </w:r>
            <w:proofErr w:type="gramEnd"/>
            <w:r w:rsidRPr="00B83932">
              <w:rPr>
                <w:sz w:val="18"/>
                <w:szCs w:val="18"/>
              </w:rPr>
              <w:t>исп</w:t>
            </w:r>
            <w:proofErr w:type="spellEnd"/>
            <w:r w:rsidRPr="00B83932">
              <w:rPr>
                <w:sz w:val="18"/>
                <w:szCs w:val="18"/>
              </w:rPr>
              <w:t xml:space="preserve"> </w:t>
            </w:r>
            <w:r w:rsidRPr="00B83932">
              <w:rPr>
                <w:position w:val="-5"/>
                <w:sz w:val="18"/>
                <w:szCs w:val="18"/>
              </w:rPr>
              <w:pict>
                <v:shape id="_x0000_i1032" type="#_x0000_t75" style="width:7.5pt;height:11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36EA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9B36E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0&quot;/&gt;&lt;w:sz-cs w:val=&quot;20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B83932">
              <w:rPr>
                <w:sz w:val="18"/>
                <w:szCs w:val="18"/>
              </w:rPr>
              <w:t xml:space="preserve"> 95%</w:t>
            </w:r>
          </w:p>
        </w:tc>
        <w:tc>
          <w:tcPr>
            <w:tcW w:w="2311" w:type="pct"/>
          </w:tcPr>
          <w:p w:rsidR="00B83932" w:rsidRPr="00B83932" w:rsidRDefault="00B83932" w:rsidP="002009D0">
            <w:pPr>
              <w:pStyle w:val="ab"/>
              <w:rPr>
                <w:sz w:val="18"/>
                <w:szCs w:val="18"/>
              </w:rPr>
            </w:pPr>
            <w:proofErr w:type="spellStart"/>
            <w:r w:rsidRPr="00B83932">
              <w:rPr>
                <w:sz w:val="18"/>
                <w:szCs w:val="18"/>
              </w:rPr>
              <w:t>высокорезультативная</w:t>
            </w:r>
            <w:proofErr w:type="spellEnd"/>
            <w:r w:rsidRPr="00B83932">
              <w:rPr>
                <w:sz w:val="18"/>
                <w:szCs w:val="18"/>
              </w:rPr>
              <w:t xml:space="preserve"> </w:t>
            </w:r>
          </w:p>
        </w:tc>
      </w:tr>
      <w:tr w:rsidR="00B83932" w:rsidRPr="00B83932" w:rsidTr="002009D0">
        <w:tc>
          <w:tcPr>
            <w:tcW w:w="2689" w:type="pct"/>
          </w:tcPr>
          <w:p w:rsidR="00B83932" w:rsidRPr="00B83932" w:rsidRDefault="00B83932" w:rsidP="002009D0">
            <w:pPr>
              <w:pStyle w:val="ab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 xml:space="preserve">85% &lt; </w:t>
            </w:r>
            <w:proofErr w:type="spellStart"/>
            <w:proofErr w:type="gramStart"/>
            <w:r w:rsidRPr="00B83932">
              <w:rPr>
                <w:sz w:val="18"/>
                <w:szCs w:val="18"/>
              </w:rPr>
              <w:t>R</w:t>
            </w:r>
            <w:proofErr w:type="gramEnd"/>
            <w:r w:rsidRPr="00B83932">
              <w:rPr>
                <w:sz w:val="18"/>
                <w:szCs w:val="18"/>
              </w:rPr>
              <w:t>исп</w:t>
            </w:r>
            <w:proofErr w:type="spellEnd"/>
            <w:r w:rsidRPr="00B83932">
              <w:rPr>
                <w:sz w:val="18"/>
                <w:szCs w:val="18"/>
              </w:rPr>
              <w:t xml:space="preserve"> </w:t>
            </w:r>
            <w:r w:rsidRPr="00B83932">
              <w:rPr>
                <w:position w:val="-5"/>
                <w:sz w:val="18"/>
                <w:szCs w:val="18"/>
              </w:rPr>
              <w:pict>
                <v:shape id="_x0000_i1034" type="#_x0000_t75" style="width:7.5pt;height:11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1405A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D1405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0&quot;/&gt;&lt;w:sz-cs w:val=&quot;20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B83932">
              <w:rPr>
                <w:sz w:val="18"/>
                <w:szCs w:val="18"/>
              </w:rPr>
              <w:t xml:space="preserve"> 95%                                                                        </w:t>
            </w:r>
          </w:p>
        </w:tc>
        <w:tc>
          <w:tcPr>
            <w:tcW w:w="2311" w:type="pct"/>
          </w:tcPr>
          <w:p w:rsidR="00B83932" w:rsidRPr="00B83932" w:rsidRDefault="00B83932" w:rsidP="002009D0">
            <w:pPr>
              <w:pStyle w:val="ab"/>
              <w:rPr>
                <w:sz w:val="18"/>
                <w:szCs w:val="18"/>
              </w:rPr>
            </w:pPr>
            <w:proofErr w:type="spellStart"/>
            <w:r w:rsidRPr="00B83932">
              <w:rPr>
                <w:sz w:val="18"/>
                <w:szCs w:val="18"/>
              </w:rPr>
              <w:t>среднерезультативная</w:t>
            </w:r>
            <w:proofErr w:type="spellEnd"/>
            <w:r w:rsidRPr="00B83932">
              <w:rPr>
                <w:sz w:val="18"/>
                <w:szCs w:val="18"/>
              </w:rPr>
              <w:t xml:space="preserve"> </w:t>
            </w:r>
          </w:p>
        </w:tc>
      </w:tr>
      <w:tr w:rsidR="00B83932" w:rsidRPr="00B83932" w:rsidTr="002009D0">
        <w:tc>
          <w:tcPr>
            <w:tcW w:w="2689" w:type="pct"/>
          </w:tcPr>
          <w:p w:rsidR="00B83932" w:rsidRPr="00B83932" w:rsidRDefault="00B83932" w:rsidP="002009D0">
            <w:pPr>
              <w:pStyle w:val="ab"/>
              <w:rPr>
                <w:sz w:val="18"/>
                <w:szCs w:val="18"/>
              </w:rPr>
            </w:pPr>
            <w:proofErr w:type="spellStart"/>
            <w:proofErr w:type="gramStart"/>
            <w:r w:rsidRPr="00B83932">
              <w:rPr>
                <w:sz w:val="18"/>
                <w:szCs w:val="18"/>
              </w:rPr>
              <w:t>R</w:t>
            </w:r>
            <w:proofErr w:type="gramEnd"/>
            <w:r w:rsidRPr="00B83932">
              <w:rPr>
                <w:sz w:val="18"/>
                <w:szCs w:val="18"/>
              </w:rPr>
              <w:t>исп</w:t>
            </w:r>
            <w:proofErr w:type="spellEnd"/>
            <w:r w:rsidRPr="00B83932">
              <w:rPr>
                <w:sz w:val="18"/>
                <w:szCs w:val="18"/>
              </w:rPr>
              <w:t xml:space="preserve"> ≤ 85%</w:t>
            </w:r>
          </w:p>
        </w:tc>
        <w:tc>
          <w:tcPr>
            <w:tcW w:w="2311" w:type="pct"/>
          </w:tcPr>
          <w:p w:rsidR="00B83932" w:rsidRPr="00B83932" w:rsidRDefault="00B83932" w:rsidP="002009D0">
            <w:pPr>
              <w:pStyle w:val="ab"/>
              <w:rPr>
                <w:sz w:val="18"/>
                <w:szCs w:val="18"/>
              </w:rPr>
            </w:pPr>
            <w:proofErr w:type="spellStart"/>
            <w:r w:rsidRPr="00B83932">
              <w:rPr>
                <w:sz w:val="18"/>
                <w:szCs w:val="18"/>
              </w:rPr>
              <w:t>низкорезультативная</w:t>
            </w:r>
            <w:proofErr w:type="spellEnd"/>
            <w:r w:rsidRPr="00B83932">
              <w:rPr>
                <w:sz w:val="18"/>
                <w:szCs w:val="18"/>
              </w:rPr>
              <w:t xml:space="preserve"> </w:t>
            </w:r>
          </w:p>
        </w:tc>
      </w:tr>
    </w:tbl>
    <w:p w:rsidR="00B83932" w:rsidRPr="00B83932" w:rsidRDefault="00B83932" w:rsidP="00B83932">
      <w:pPr>
        <w:rPr>
          <w:rStyle w:val="14"/>
          <w:rFonts w:ascii="Times New Roman" w:hAnsi="Times New Roman" w:cs="Times New Roman"/>
          <w:bCs/>
          <w:sz w:val="18"/>
          <w:szCs w:val="18"/>
        </w:rPr>
      </w:pPr>
    </w:p>
    <w:p w:rsidR="00B83932" w:rsidRPr="00B83932" w:rsidRDefault="00B83932" w:rsidP="00B83932">
      <w:pPr>
        <w:rPr>
          <w:rStyle w:val="14"/>
          <w:rFonts w:ascii="Times New Roman" w:hAnsi="Times New Roman" w:cs="Times New Roman"/>
          <w:sz w:val="18"/>
          <w:szCs w:val="18"/>
        </w:rPr>
      </w:pPr>
      <w:r w:rsidRPr="00B83932">
        <w:rPr>
          <w:rStyle w:val="14"/>
          <w:rFonts w:ascii="Times New Roman" w:hAnsi="Times New Roman" w:cs="Times New Roman"/>
          <w:bCs/>
          <w:sz w:val="18"/>
          <w:szCs w:val="18"/>
        </w:rPr>
        <w:t>Эффективность исполнения ВЦП</w:t>
      </w:r>
      <w:r w:rsidRPr="00B83932">
        <w:rPr>
          <w:rStyle w:val="14"/>
          <w:rFonts w:ascii="Times New Roman" w:hAnsi="Times New Roman" w:cs="Times New Roman"/>
          <w:sz w:val="18"/>
          <w:szCs w:val="18"/>
        </w:rPr>
        <w:t xml:space="preserve"> – это отношение степени достижения запланированных результатов по задачам </w:t>
      </w:r>
      <w:r w:rsidRPr="00B83932">
        <w:rPr>
          <w:rFonts w:ascii="Times New Roman" w:hAnsi="Times New Roman" w:cs="Times New Roman"/>
          <w:sz w:val="18"/>
          <w:szCs w:val="18"/>
        </w:rPr>
        <w:t>ВЦП</w:t>
      </w:r>
      <w:r w:rsidRPr="00B83932">
        <w:rPr>
          <w:rStyle w:val="14"/>
          <w:rFonts w:ascii="Times New Roman" w:hAnsi="Times New Roman" w:cs="Times New Roman"/>
          <w:sz w:val="18"/>
          <w:szCs w:val="18"/>
        </w:rPr>
        <w:t xml:space="preserve"> к степени освоения средств бюджетов всех уровней на реализацию этих задач.</w:t>
      </w:r>
    </w:p>
    <w:p w:rsidR="00B83932" w:rsidRPr="00B83932" w:rsidRDefault="00B83932" w:rsidP="00B83932">
      <w:pPr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Style w:val="14"/>
          <w:rFonts w:ascii="Times New Roman" w:hAnsi="Times New Roman" w:cs="Times New Roman"/>
          <w:spacing w:val="2"/>
          <w:sz w:val="18"/>
          <w:szCs w:val="18"/>
        </w:rPr>
        <w:t>Индекс</w:t>
      </w:r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эффективности исполнения ВЦП (</w:t>
      </w:r>
      <w:proofErr w:type="spellStart"/>
      <w:r w:rsidRPr="00B83932">
        <w:rPr>
          <w:rFonts w:ascii="Times New Roman" w:hAnsi="Times New Roman" w:cs="Times New Roman"/>
          <w:spacing w:val="2"/>
          <w:sz w:val="18"/>
          <w:szCs w:val="18"/>
        </w:rPr>
        <w:t>Е</w:t>
      </w:r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</w:rPr>
        <w:t>исп</w:t>
      </w:r>
      <w:proofErr w:type="spellEnd"/>
      <w:r w:rsidRPr="00B83932">
        <w:rPr>
          <w:rFonts w:ascii="Times New Roman" w:hAnsi="Times New Roman" w:cs="Times New Roman"/>
          <w:spacing w:val="2"/>
          <w:sz w:val="18"/>
          <w:szCs w:val="18"/>
        </w:rPr>
        <w:t>) определяется по формуле:</w:t>
      </w:r>
    </w:p>
    <w:p w:rsidR="00B83932" w:rsidRPr="00B83932" w:rsidRDefault="00B83932" w:rsidP="00B83932">
      <w:pPr>
        <w:spacing w:before="33" w:after="33"/>
        <w:jc w:val="center"/>
        <w:rPr>
          <w:rFonts w:ascii="Times New Roman" w:hAnsi="Times New Roman" w:cs="Times New Roman"/>
          <w:spacing w:val="2"/>
          <w:sz w:val="18"/>
          <w:szCs w:val="1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18"/>
                <w:szCs w:val="18"/>
              </w:rPr>
            </m:ctrlPr>
          </m:sSubPr>
          <m:e>
            <m:r>
              <w:rPr>
                <w:rFonts w:ascii="Times New Roman" w:hAnsi="Times New Roman" w:cs="Times New Roman"/>
                <w:spacing w:val="2"/>
                <w:sz w:val="18"/>
                <w:szCs w:val="18"/>
              </w:rPr>
              <m:t>Е</m:t>
            </m:r>
          </m:e>
          <m:sub>
            <m:r>
              <w:rPr>
                <w:rFonts w:ascii="Times New Roman" w:hAnsi="Times New Roman" w:cs="Times New Roman"/>
                <w:spacing w:val="2"/>
                <w:sz w:val="18"/>
                <w:szCs w:val="18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18"/>
                    <w:szCs w:val="18"/>
                    <w:lang w:val="en-US"/>
                  </w:rPr>
                  <m:t>R</m:t>
                </m:r>
              </m:e>
              <m:sub>
                <m:r>
                  <w:rPr>
                    <w:rFonts w:ascii="Times New Roman" w:hAnsi="Times New Roman" w:cs="Times New Roman"/>
                    <w:spacing w:val="2"/>
                    <w:sz w:val="18"/>
                    <w:szCs w:val="1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pacing w:val="2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18"/>
                        <w:szCs w:val="1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18"/>
                        <w:szCs w:val="1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18"/>
                        <w:szCs w:val="18"/>
                      </w:rPr>
                      <m:t>план</m:t>
                    </m:r>
                  </m:sub>
                </m:sSub>
              </m:den>
            </m:f>
          </m:den>
        </m:f>
      </m:oMath>
      <w:r w:rsidRPr="00B83932">
        <w:rPr>
          <w:rFonts w:ascii="Times New Roman" w:hAnsi="Times New Roman" w:cs="Times New Roman"/>
          <w:i/>
          <w:spacing w:val="2"/>
          <w:sz w:val="18"/>
          <w:szCs w:val="18"/>
        </w:rPr>
        <w:t>,</w:t>
      </w:r>
      <w:r w:rsidRPr="00B83932">
        <w:rPr>
          <w:rFonts w:ascii="Times New Roman" w:hAnsi="Times New Roman" w:cs="Times New Roman"/>
          <w:spacing w:val="2"/>
          <w:sz w:val="18"/>
          <w:szCs w:val="18"/>
        </w:rPr>
        <w:t>где</w:t>
      </w:r>
    </w:p>
    <w:p w:rsidR="00B83932" w:rsidRPr="00B83932" w:rsidRDefault="00B83932" w:rsidP="00B83932">
      <w:pPr>
        <w:spacing w:before="240" w:after="33"/>
        <w:rPr>
          <w:rFonts w:ascii="Times New Roman" w:hAnsi="Times New Roman" w:cs="Times New Roman"/>
          <w:spacing w:val="2"/>
          <w:sz w:val="18"/>
          <w:szCs w:val="18"/>
        </w:rPr>
      </w:pPr>
      <w:proofErr w:type="spellStart"/>
      <w:proofErr w:type="gramStart"/>
      <w:r w:rsidRPr="00B83932">
        <w:rPr>
          <w:rFonts w:ascii="Times New Roman" w:hAnsi="Times New Roman" w:cs="Times New Roman"/>
          <w:spacing w:val="2"/>
          <w:sz w:val="18"/>
          <w:szCs w:val="18"/>
        </w:rPr>
        <w:t>F</w:t>
      </w:r>
      <w:proofErr w:type="gramEnd"/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</w:rPr>
        <w:t>факт</w:t>
      </w:r>
      <w:proofErr w:type="spellEnd"/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B83932" w:rsidRPr="00B83932" w:rsidRDefault="00B83932" w:rsidP="00B83932">
      <w:pPr>
        <w:spacing w:before="33" w:after="33"/>
        <w:rPr>
          <w:rFonts w:ascii="Times New Roman" w:hAnsi="Times New Roman" w:cs="Times New Roman"/>
          <w:spacing w:val="2"/>
          <w:sz w:val="18"/>
          <w:szCs w:val="18"/>
        </w:rPr>
      </w:pPr>
      <w:proofErr w:type="spellStart"/>
      <w:proofErr w:type="gramStart"/>
      <w:r w:rsidRPr="00B83932">
        <w:rPr>
          <w:rFonts w:ascii="Times New Roman" w:hAnsi="Times New Roman" w:cs="Times New Roman"/>
          <w:spacing w:val="2"/>
          <w:sz w:val="18"/>
          <w:szCs w:val="18"/>
        </w:rPr>
        <w:t>F</w:t>
      </w:r>
      <w:proofErr w:type="gramEnd"/>
      <w:r w:rsidRPr="00B83932">
        <w:rPr>
          <w:rFonts w:ascii="Times New Roman" w:hAnsi="Times New Roman" w:cs="Times New Roman"/>
          <w:spacing w:val="2"/>
          <w:sz w:val="18"/>
          <w:szCs w:val="18"/>
          <w:vertAlign w:val="subscript"/>
        </w:rPr>
        <w:t>план</w:t>
      </w:r>
      <w:proofErr w:type="spellEnd"/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B83932" w:rsidRPr="00B83932" w:rsidRDefault="00B83932" w:rsidP="00B83932">
      <w:pPr>
        <w:spacing w:after="0"/>
        <w:jc w:val="center"/>
        <w:rPr>
          <w:rFonts w:ascii="Times New Roman" w:hAnsi="Times New Roman" w:cs="Times New Roman"/>
          <w:spacing w:val="2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</w:rPr>
        <w:t>Критерии оценки эффективности исполнения ВЦП: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266"/>
        <w:gridCol w:w="4358"/>
      </w:tblGrid>
      <w:tr w:rsidR="00B83932" w:rsidRPr="00B83932" w:rsidTr="002009D0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Значение индекса эффективности исполнения </w:t>
            </w:r>
            <w:r w:rsidRPr="00B83932">
              <w:rPr>
                <w:rFonts w:ascii="Times New Roman" w:hAnsi="Times New Roman" w:cs="Times New Roman"/>
                <w:sz w:val="18"/>
                <w:szCs w:val="18"/>
              </w:rPr>
              <w:t>ВЦП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(</w:t>
            </w:r>
            <w:proofErr w:type="spellStart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Е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  <w:vertAlign w:val="subscript"/>
              </w:rPr>
              <w:t>исп</w:t>
            </w:r>
            <w:proofErr w:type="spellEnd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Эффективность исполнения </w:t>
            </w:r>
            <w:r w:rsidRPr="00B83932">
              <w:rPr>
                <w:rFonts w:ascii="Times New Roman" w:hAnsi="Times New Roman" w:cs="Times New Roman"/>
                <w:sz w:val="18"/>
                <w:szCs w:val="18"/>
              </w:rPr>
              <w:t>ВЦП</w:t>
            </w:r>
          </w:p>
        </w:tc>
      </w:tr>
      <w:tr w:rsidR="00B83932" w:rsidRPr="00B83932" w:rsidTr="002009D0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Е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  <w:vertAlign w:val="subscript"/>
              </w:rPr>
              <w:t>исп</w:t>
            </w:r>
            <w:proofErr w:type="spellEnd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≥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высокоэффективная</w:t>
            </w:r>
          </w:p>
        </w:tc>
      </w:tr>
      <w:tr w:rsidR="00B83932" w:rsidRPr="00B83932" w:rsidTr="002009D0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90% 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&lt;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Е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  <w:vertAlign w:val="subscript"/>
              </w:rPr>
              <w:t>исп</w:t>
            </w:r>
            <w:proofErr w:type="spellEnd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среднеэффективная</w:t>
            </w:r>
            <w:proofErr w:type="spellEnd"/>
          </w:p>
        </w:tc>
      </w:tr>
      <w:tr w:rsidR="00B83932" w:rsidRPr="00B83932" w:rsidTr="002009D0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Е</w:t>
            </w: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  <w:vertAlign w:val="subscript"/>
              </w:rPr>
              <w:t>исп</w:t>
            </w:r>
            <w:proofErr w:type="spellEnd"/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32" w:rsidRPr="00B83932" w:rsidRDefault="00B83932" w:rsidP="00B8393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839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низкоэффективная</w:t>
            </w:r>
          </w:p>
        </w:tc>
      </w:tr>
    </w:tbl>
    <w:p w:rsidR="00B83932" w:rsidRPr="00B83932" w:rsidRDefault="00B83932" w:rsidP="00B83932">
      <w:pPr>
        <w:rPr>
          <w:rFonts w:ascii="Times New Roman" w:hAnsi="Times New Roman" w:cs="Times New Roman"/>
          <w:sz w:val="18"/>
          <w:szCs w:val="18"/>
        </w:rPr>
      </w:pPr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Результативность исполнения </w:t>
      </w:r>
      <w:r w:rsidRPr="00B83932">
        <w:rPr>
          <w:rFonts w:ascii="Times New Roman" w:hAnsi="Times New Roman" w:cs="Times New Roman"/>
          <w:sz w:val="18"/>
          <w:szCs w:val="18"/>
        </w:rPr>
        <w:t>ВЦП</w:t>
      </w:r>
      <w:r w:rsidRPr="00B83932">
        <w:rPr>
          <w:rFonts w:ascii="Times New Roman" w:hAnsi="Times New Roman" w:cs="Times New Roman"/>
          <w:spacing w:val="2"/>
          <w:sz w:val="18"/>
          <w:szCs w:val="18"/>
        </w:rPr>
        <w:t xml:space="preserve"> и эффективность исполнения программы, состоящей из подпрограмм (при условии равной значимости), вычисляется в указанном порядке как среднеарифметическое, взятое по всем подпрограммам </w:t>
      </w:r>
      <w:r w:rsidRPr="00B83932">
        <w:rPr>
          <w:rFonts w:ascii="Times New Roman" w:hAnsi="Times New Roman" w:cs="Times New Roman"/>
          <w:sz w:val="18"/>
          <w:szCs w:val="18"/>
        </w:rPr>
        <w:t>ВЦП</w:t>
      </w:r>
      <w:r w:rsidRPr="00B83932">
        <w:rPr>
          <w:rFonts w:ascii="Times New Roman" w:hAnsi="Times New Roman" w:cs="Times New Roman"/>
          <w:spacing w:val="2"/>
          <w:sz w:val="18"/>
          <w:szCs w:val="18"/>
        </w:rPr>
        <w:t>.</w:t>
      </w:r>
    </w:p>
    <w:p w:rsidR="00B83932" w:rsidRPr="00B83932" w:rsidRDefault="00B83932" w:rsidP="008A2219">
      <w:pPr>
        <w:pStyle w:val="ae"/>
        <w:rPr>
          <w:rFonts w:ascii="Times New Roman" w:hAnsi="Times New Roman" w:cs="Times New Roman"/>
        </w:rPr>
      </w:pPr>
    </w:p>
    <w:sectPr w:rsidR="00B83932" w:rsidRPr="00B83932" w:rsidSect="00A8608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EF" w:rsidRDefault="00E451EF" w:rsidP="005D602D">
      <w:pPr>
        <w:spacing w:after="0" w:line="240" w:lineRule="auto"/>
      </w:pPr>
      <w:r>
        <w:separator/>
      </w:r>
    </w:p>
  </w:endnote>
  <w:endnote w:type="continuationSeparator" w:id="0">
    <w:p w:rsidR="00E451EF" w:rsidRDefault="00E451EF" w:rsidP="005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EF" w:rsidRDefault="00E451EF" w:rsidP="005D602D">
      <w:pPr>
        <w:spacing w:after="0" w:line="240" w:lineRule="auto"/>
      </w:pPr>
      <w:r>
        <w:separator/>
      </w:r>
    </w:p>
  </w:footnote>
  <w:footnote w:type="continuationSeparator" w:id="0">
    <w:p w:rsidR="00E451EF" w:rsidRDefault="00E451EF" w:rsidP="005D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C7D"/>
    <w:multiLevelType w:val="hybridMultilevel"/>
    <w:tmpl w:val="13D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02D"/>
    <w:rsid w:val="000174E1"/>
    <w:rsid w:val="00062A18"/>
    <w:rsid w:val="00193EEE"/>
    <w:rsid w:val="001E3673"/>
    <w:rsid w:val="0021304F"/>
    <w:rsid w:val="0022020F"/>
    <w:rsid w:val="00226D54"/>
    <w:rsid w:val="002A07FB"/>
    <w:rsid w:val="002F1BE8"/>
    <w:rsid w:val="00311134"/>
    <w:rsid w:val="003B0702"/>
    <w:rsid w:val="003C0182"/>
    <w:rsid w:val="003D5967"/>
    <w:rsid w:val="003E1B98"/>
    <w:rsid w:val="004B3FDA"/>
    <w:rsid w:val="004B7402"/>
    <w:rsid w:val="005D602D"/>
    <w:rsid w:val="0061403E"/>
    <w:rsid w:val="00645DAE"/>
    <w:rsid w:val="006B4430"/>
    <w:rsid w:val="006E0AB7"/>
    <w:rsid w:val="00723EB4"/>
    <w:rsid w:val="007313E6"/>
    <w:rsid w:val="00733898"/>
    <w:rsid w:val="0087590C"/>
    <w:rsid w:val="008A2219"/>
    <w:rsid w:val="008F451F"/>
    <w:rsid w:val="009327BF"/>
    <w:rsid w:val="009A25D3"/>
    <w:rsid w:val="009B244A"/>
    <w:rsid w:val="009B7909"/>
    <w:rsid w:val="00A022C6"/>
    <w:rsid w:val="00A7015E"/>
    <w:rsid w:val="00A8608D"/>
    <w:rsid w:val="00AA0548"/>
    <w:rsid w:val="00B151E5"/>
    <w:rsid w:val="00B83932"/>
    <w:rsid w:val="00BB7EF6"/>
    <w:rsid w:val="00C952EC"/>
    <w:rsid w:val="00D0144E"/>
    <w:rsid w:val="00E451EF"/>
    <w:rsid w:val="00E56262"/>
    <w:rsid w:val="00F70D0F"/>
    <w:rsid w:val="00F80469"/>
    <w:rsid w:val="00FB7834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30"/>
  </w:style>
  <w:style w:type="paragraph" w:styleId="1">
    <w:name w:val="heading 1"/>
    <w:basedOn w:val="a"/>
    <w:next w:val="a"/>
    <w:link w:val="10"/>
    <w:uiPriority w:val="99"/>
    <w:qFormat/>
    <w:rsid w:val="005D60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02D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basedOn w:val="a"/>
    <w:rsid w:val="005D60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D6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D60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02D"/>
  </w:style>
  <w:style w:type="paragraph" w:styleId="a9">
    <w:name w:val="footer"/>
    <w:basedOn w:val="a"/>
    <w:link w:val="aa"/>
    <w:uiPriority w:val="99"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2D"/>
  </w:style>
  <w:style w:type="paragraph" w:customStyle="1" w:styleId="ab">
    <w:name w:val="табл"/>
    <w:basedOn w:val="a"/>
    <w:rsid w:val="00FB7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D5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1403E"/>
    <w:pPr>
      <w:spacing w:after="0" w:line="240" w:lineRule="auto"/>
    </w:pPr>
  </w:style>
  <w:style w:type="paragraph" w:customStyle="1" w:styleId="ConsPlusNonformat">
    <w:name w:val="ConsPlusNonformat"/>
    <w:uiPriority w:val="99"/>
    <w:rsid w:val="00C95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сновной текст с отступом1"/>
    <w:basedOn w:val="a"/>
    <w:uiPriority w:val="99"/>
    <w:rsid w:val="003E1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footnote reference"/>
    <w:basedOn w:val="a0"/>
    <w:uiPriority w:val="99"/>
    <w:semiHidden/>
    <w:unhideWhenUsed/>
    <w:rsid w:val="002A07FB"/>
    <w:rPr>
      <w:rFonts w:cs="Times New Roman"/>
      <w:vertAlign w:val="superscript"/>
    </w:rPr>
  </w:style>
  <w:style w:type="paragraph" w:styleId="af0">
    <w:name w:val="caption"/>
    <w:basedOn w:val="a"/>
    <w:semiHidden/>
    <w:unhideWhenUsed/>
    <w:qFormat/>
    <w:rsid w:val="002A07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1">
    <w:name w:val="Subtitle"/>
    <w:basedOn w:val="a"/>
    <w:link w:val="af2"/>
    <w:qFormat/>
    <w:rsid w:val="002A0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2A07FB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Текст примечания1"/>
    <w:basedOn w:val="11"/>
    <w:rsid w:val="00B83932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4">
    <w:name w:val="Основной шрифт абзаца1"/>
    <w:rsid w:val="00B83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60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02D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basedOn w:val="a"/>
    <w:rsid w:val="005D60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D6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D60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02D"/>
  </w:style>
  <w:style w:type="paragraph" w:styleId="a9">
    <w:name w:val="footer"/>
    <w:basedOn w:val="a"/>
    <w:link w:val="aa"/>
    <w:uiPriority w:val="99"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2D"/>
  </w:style>
  <w:style w:type="paragraph" w:customStyle="1" w:styleId="ab">
    <w:name w:val="табл"/>
    <w:basedOn w:val="a"/>
    <w:rsid w:val="00FB7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D5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1403E"/>
    <w:pPr>
      <w:spacing w:after="0" w:line="240" w:lineRule="auto"/>
    </w:pPr>
  </w:style>
  <w:style w:type="paragraph" w:customStyle="1" w:styleId="ConsPlusNonformat">
    <w:name w:val="ConsPlusNonformat"/>
    <w:uiPriority w:val="99"/>
    <w:rsid w:val="00C95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сновной текст с отступом1"/>
    <w:basedOn w:val="a"/>
    <w:uiPriority w:val="99"/>
    <w:rsid w:val="003E1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footnote reference"/>
    <w:basedOn w:val="a0"/>
    <w:uiPriority w:val="99"/>
    <w:semiHidden/>
    <w:unhideWhenUsed/>
    <w:rsid w:val="002A07FB"/>
    <w:rPr>
      <w:rFonts w:cs="Times New Roman"/>
      <w:vertAlign w:val="superscript"/>
    </w:rPr>
  </w:style>
  <w:style w:type="paragraph" w:styleId="af0">
    <w:name w:val="caption"/>
    <w:basedOn w:val="a"/>
    <w:semiHidden/>
    <w:unhideWhenUsed/>
    <w:qFormat/>
    <w:rsid w:val="002A07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1">
    <w:name w:val="Subtitle"/>
    <w:basedOn w:val="a"/>
    <w:link w:val="af2"/>
    <w:qFormat/>
    <w:rsid w:val="002A0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2A07F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1644-0F0C-4A60-94B0-1AB8D8E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</dc:creator>
  <cp:lastModifiedBy>Scentr2</cp:lastModifiedBy>
  <cp:revision>3</cp:revision>
  <cp:lastPrinted>2013-11-01T09:21:00Z</cp:lastPrinted>
  <dcterms:created xsi:type="dcterms:W3CDTF">2013-10-29T10:50:00Z</dcterms:created>
  <dcterms:modified xsi:type="dcterms:W3CDTF">2013-11-01T09:21:00Z</dcterms:modified>
</cp:coreProperties>
</file>