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1BA" w:rsidTr="009E64DD">
        <w:tc>
          <w:tcPr>
            <w:tcW w:w="4785" w:type="dxa"/>
            <w:hideMark/>
          </w:tcPr>
          <w:p w:rsidR="003C71BA" w:rsidRDefault="003C71BA" w:rsidP="009E64D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«18» июля 2016г.</w:t>
            </w:r>
          </w:p>
        </w:tc>
        <w:tc>
          <w:tcPr>
            <w:tcW w:w="4786" w:type="dxa"/>
            <w:hideMark/>
          </w:tcPr>
          <w:p w:rsidR="003C71BA" w:rsidRDefault="003C71BA" w:rsidP="009E64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15</w:t>
            </w:r>
          </w:p>
        </w:tc>
      </w:tr>
    </w:tbl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Российской Федерации № 44-ФЗ от 05.04.2013 года « О 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27.05.2016г. № 298 « Об 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подведомственные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учреждения)», в целях повышения эффективности бюджетных расходов и организации процесса бюджетного планирования,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1BA" w:rsidRDefault="003C71BA" w:rsidP="003C7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на обеспечение функций Управления 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правление) использовать Правила определения нормативных затрат на обеспечение функций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подведомственные муниципальные казенные учреждения), утвержденных в Приложении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27.05.2016г. № 298 « Об 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подведомственные муниципальные казенные учреждения)».</w:t>
      </w:r>
    </w:p>
    <w:p w:rsidR="003C71BA" w:rsidRDefault="003C71BA" w:rsidP="003C71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Управления  согласно Приложению.</w:t>
      </w:r>
    </w:p>
    <w:p w:rsidR="003C71BA" w:rsidRDefault="003C71BA" w:rsidP="003C71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3C71BA" w:rsidRDefault="003C71BA" w:rsidP="003C71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C71BA" w:rsidRDefault="003C71BA" w:rsidP="003C7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A" w:rsidRDefault="003C71BA" w:rsidP="003C71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Л.И.Лешкина</w:t>
      </w:r>
      <w:proofErr w:type="spellEnd"/>
    </w:p>
    <w:p w:rsidR="003C71BA" w:rsidRDefault="003C71BA" w:rsidP="003C71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3C71BA" w:rsidRDefault="003C71BA" w:rsidP="003C71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3F711F" w:rsidRDefault="003F711F" w:rsidP="00932C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2"/>
          <w:kern w:val="36"/>
          <w:sz w:val="28"/>
          <w:szCs w:val="28"/>
          <w:lang w:eastAsia="ru-RU"/>
        </w:rPr>
      </w:pPr>
    </w:p>
    <w:p w:rsidR="003F711F" w:rsidRPr="00EF19BA" w:rsidRDefault="003F711F" w:rsidP="00932C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2"/>
          <w:kern w:val="36"/>
          <w:sz w:val="28"/>
          <w:szCs w:val="28"/>
          <w:lang w:eastAsia="ru-RU"/>
        </w:rPr>
      </w:pPr>
    </w:p>
    <w:p w:rsidR="00932C5A" w:rsidRDefault="00230B06" w:rsidP="00EF19B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Приложение</w:t>
      </w:r>
    </w:p>
    <w:p w:rsidR="00EF19BA" w:rsidRPr="00EF19BA" w:rsidRDefault="00EF19BA" w:rsidP="00EF19B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EF19BA" w:rsidRPr="00EF19BA" w:rsidRDefault="00932C5A" w:rsidP="00EF19B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19BA">
        <w:rPr>
          <w:rFonts w:ascii="Times New Roman" w:hAnsi="Times New Roman" w:cs="Times New Roman"/>
          <w:sz w:val="24"/>
          <w:szCs w:val="24"/>
          <w:lang w:eastAsia="ru-RU"/>
        </w:rPr>
        <w:t>НОРМАТИВНЫЕ ЗАТРАТЫ НА ОБЕСПЕЧЕНИЕ</w:t>
      </w:r>
    </w:p>
    <w:p w:rsidR="00932C5A" w:rsidRPr="00EF19BA" w:rsidRDefault="00932C5A" w:rsidP="00EF19B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19BA">
        <w:rPr>
          <w:rFonts w:ascii="Times New Roman" w:hAnsi="Times New Roman" w:cs="Times New Roman"/>
          <w:sz w:val="24"/>
          <w:szCs w:val="24"/>
          <w:lang w:eastAsia="ru-RU"/>
        </w:rPr>
        <w:t xml:space="preserve">ФУНКЦИЙ </w:t>
      </w:r>
      <w:r w:rsidR="00F96288" w:rsidRPr="00EF19BA">
        <w:rPr>
          <w:rFonts w:ascii="Times New Roman" w:hAnsi="Times New Roman" w:cs="Times New Roman"/>
          <w:sz w:val="24"/>
          <w:szCs w:val="24"/>
          <w:lang w:eastAsia="ru-RU"/>
        </w:rPr>
        <w:t>УПРАВЛЕНИЯ СОЦИАЛЬНОЙ ЗАЩИТЫ НАСЕЛЕНИЯ АДМИНИСТРАЦИИ БОЛЬШЕСЕЛЬСКОГО МР</w:t>
      </w:r>
    </w:p>
    <w:p w:rsidR="00F96288" w:rsidRPr="00EF19BA" w:rsidRDefault="00932C5A" w:rsidP="00F962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</w:p>
    <w:p w:rsidR="00F96288" w:rsidRPr="00EF19BA" w:rsidRDefault="00932C5A" w:rsidP="00F9628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19BA">
        <w:rPr>
          <w:rFonts w:ascii="Times New Roman" w:hAnsi="Times New Roman" w:cs="Times New Roman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F96288" w:rsidRPr="00EF19BA">
        <w:rPr>
          <w:rFonts w:ascii="Times New Roman" w:hAnsi="Times New Roman" w:cs="Times New Roman"/>
          <w:sz w:val="24"/>
          <w:szCs w:val="24"/>
        </w:rPr>
        <w:t>Управления</w:t>
      </w:r>
      <w:r w:rsidRPr="00EF19BA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 и услуг, порядок расчета которых определен Правилами определения нормативных затрат на обеспечение функций </w:t>
      </w:r>
      <w:r w:rsidR="00C43B4A" w:rsidRPr="00EF19BA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</w:t>
      </w:r>
      <w:proofErr w:type="spellStart"/>
      <w:r w:rsidR="00C43B4A" w:rsidRPr="00EF19B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43B4A" w:rsidRPr="00EF19BA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</w:t>
      </w:r>
      <w:r w:rsidRPr="00EF19BA">
        <w:rPr>
          <w:rFonts w:ascii="Times New Roman" w:hAnsi="Times New Roman" w:cs="Times New Roman"/>
          <w:sz w:val="24"/>
          <w:szCs w:val="24"/>
        </w:rPr>
        <w:t>подведомственны</w:t>
      </w:r>
      <w:r w:rsidR="00C43B4A" w:rsidRPr="00EF19BA">
        <w:rPr>
          <w:rFonts w:ascii="Times New Roman" w:hAnsi="Times New Roman" w:cs="Times New Roman"/>
          <w:sz w:val="24"/>
          <w:szCs w:val="24"/>
        </w:rPr>
        <w:t xml:space="preserve">е муниципальные </w:t>
      </w:r>
      <w:r w:rsidRPr="00EF19BA">
        <w:rPr>
          <w:rFonts w:ascii="Times New Roman" w:hAnsi="Times New Roman" w:cs="Times New Roman"/>
          <w:sz w:val="24"/>
          <w:szCs w:val="24"/>
        </w:rPr>
        <w:t>казенны</w:t>
      </w:r>
      <w:r w:rsidR="00C43B4A" w:rsidRPr="00EF19BA">
        <w:rPr>
          <w:rFonts w:ascii="Times New Roman" w:hAnsi="Times New Roman" w:cs="Times New Roman"/>
          <w:sz w:val="24"/>
          <w:szCs w:val="24"/>
        </w:rPr>
        <w:t>е</w:t>
      </w:r>
      <w:r w:rsidRPr="00EF19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43B4A" w:rsidRPr="00EF19BA">
        <w:rPr>
          <w:rFonts w:ascii="Times New Roman" w:hAnsi="Times New Roman" w:cs="Times New Roman"/>
          <w:sz w:val="24"/>
          <w:szCs w:val="24"/>
        </w:rPr>
        <w:t>я)</w:t>
      </w:r>
      <w:r w:rsidRPr="00EF19BA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</w:t>
      </w:r>
      <w:proofErr w:type="spellStart"/>
      <w:r w:rsidR="00F96288" w:rsidRPr="00EF19B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96288" w:rsidRPr="00EF19BA">
        <w:rPr>
          <w:rFonts w:ascii="Times New Roman" w:hAnsi="Times New Roman" w:cs="Times New Roman"/>
          <w:sz w:val="24"/>
          <w:szCs w:val="24"/>
        </w:rPr>
        <w:t xml:space="preserve"> МР</w:t>
      </w:r>
      <w:r w:rsidRPr="00EF19BA">
        <w:rPr>
          <w:rFonts w:ascii="Times New Roman" w:hAnsi="Times New Roman" w:cs="Times New Roman"/>
          <w:sz w:val="24"/>
          <w:szCs w:val="24"/>
        </w:rPr>
        <w:t> </w:t>
      </w:r>
      <w:r w:rsidR="00F96288" w:rsidRPr="00EF19BA">
        <w:rPr>
          <w:rFonts w:ascii="Times New Roman" w:hAnsi="Times New Roman" w:cs="Times New Roman"/>
          <w:sz w:val="24"/>
          <w:szCs w:val="24"/>
        </w:rPr>
        <w:t xml:space="preserve"> от 27.05.2016г.№298</w:t>
      </w:r>
      <w:r w:rsidRPr="00EF19BA">
        <w:rPr>
          <w:rFonts w:ascii="Times New Roman" w:hAnsi="Times New Roman" w:cs="Times New Roman"/>
          <w:sz w:val="24"/>
          <w:szCs w:val="24"/>
        </w:rPr>
        <w:t>.</w:t>
      </w:r>
    </w:p>
    <w:p w:rsidR="00F96288" w:rsidRPr="00EF19BA" w:rsidRDefault="00932C5A" w:rsidP="00F9628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19BA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F96288" w:rsidRPr="00EF19BA">
        <w:rPr>
          <w:rFonts w:ascii="Times New Roman" w:hAnsi="Times New Roman" w:cs="Times New Roman"/>
          <w:sz w:val="24"/>
          <w:szCs w:val="24"/>
        </w:rPr>
        <w:t>Управления</w:t>
      </w:r>
      <w:r w:rsidRPr="00EF19BA">
        <w:rPr>
          <w:rFonts w:ascii="Times New Roman" w:hAnsi="Times New Roman" w:cs="Times New Roman"/>
          <w:sz w:val="24"/>
          <w:szCs w:val="24"/>
        </w:rPr>
        <w:t xml:space="preserve"> применяются при формировании проекта бюджета для обоснования объекта и (или) объектов закупки, включенных в план закупок.</w:t>
      </w:r>
    </w:p>
    <w:p w:rsidR="00F96288" w:rsidRPr="00EF19BA" w:rsidRDefault="00932C5A" w:rsidP="00F9628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19BA">
        <w:rPr>
          <w:rFonts w:ascii="Times New Roman" w:hAnsi="Times New Roman" w:cs="Times New Roman"/>
          <w:sz w:val="24"/>
          <w:szCs w:val="24"/>
        </w:rPr>
        <w:t xml:space="preserve">К видам нормативных затрат на обеспечение функций </w:t>
      </w:r>
      <w:r w:rsidR="00F96288" w:rsidRPr="00EF19BA">
        <w:rPr>
          <w:rFonts w:ascii="Times New Roman" w:hAnsi="Times New Roman" w:cs="Times New Roman"/>
          <w:sz w:val="24"/>
          <w:szCs w:val="24"/>
        </w:rPr>
        <w:t>Управления</w:t>
      </w:r>
      <w:r w:rsidRPr="00EF19BA">
        <w:rPr>
          <w:rFonts w:ascii="Times New Roman" w:hAnsi="Times New Roman" w:cs="Times New Roman"/>
          <w:sz w:val="24"/>
          <w:szCs w:val="24"/>
        </w:rPr>
        <w:t xml:space="preserve"> относятся: затраты на обеспечение работников компьютерным и периферийным оборудованием, средствами коммуникации, затраты на приобретение хозяйственных товаров и принадлежностей. Нормативы обеспечения функций </w:t>
      </w:r>
      <w:r w:rsidR="00F96288" w:rsidRPr="00EF19BA">
        <w:rPr>
          <w:rFonts w:ascii="Times New Roman" w:hAnsi="Times New Roman" w:cs="Times New Roman"/>
          <w:sz w:val="24"/>
          <w:szCs w:val="24"/>
        </w:rPr>
        <w:t>Управления</w:t>
      </w:r>
      <w:r w:rsidRPr="00EF19BA">
        <w:rPr>
          <w:rFonts w:ascii="Times New Roman" w:hAnsi="Times New Roman" w:cs="Times New Roman"/>
          <w:sz w:val="24"/>
          <w:szCs w:val="24"/>
        </w:rPr>
        <w:t xml:space="preserve">, применяемые при расчете нормативных затрат, приведены в </w:t>
      </w:r>
      <w:r w:rsidR="00F96288" w:rsidRPr="00EF19BA">
        <w:rPr>
          <w:rFonts w:ascii="Times New Roman" w:hAnsi="Times New Roman" w:cs="Times New Roman"/>
          <w:sz w:val="24"/>
          <w:szCs w:val="24"/>
        </w:rPr>
        <w:t>Таблицах</w:t>
      </w:r>
      <w:r w:rsidRPr="00EF19BA">
        <w:rPr>
          <w:rFonts w:ascii="Times New Roman" w:hAnsi="Times New Roman" w:cs="Times New Roman"/>
          <w:sz w:val="24"/>
          <w:szCs w:val="24"/>
        </w:rPr>
        <w:t xml:space="preserve"> N 1 </w:t>
      </w:r>
      <w:r w:rsidR="00F222C8" w:rsidRPr="00EF19BA">
        <w:rPr>
          <w:rFonts w:ascii="Times New Roman" w:hAnsi="Times New Roman" w:cs="Times New Roman"/>
          <w:sz w:val="24"/>
          <w:szCs w:val="24"/>
        </w:rPr>
        <w:t>–</w:t>
      </w:r>
      <w:r w:rsidRPr="00EF19BA">
        <w:rPr>
          <w:rFonts w:ascii="Times New Roman" w:hAnsi="Times New Roman" w:cs="Times New Roman"/>
          <w:sz w:val="24"/>
          <w:szCs w:val="24"/>
        </w:rPr>
        <w:t xml:space="preserve"> </w:t>
      </w:r>
      <w:r w:rsidR="00F222C8" w:rsidRPr="00EF19BA">
        <w:rPr>
          <w:rFonts w:ascii="Times New Roman" w:hAnsi="Times New Roman" w:cs="Times New Roman"/>
          <w:sz w:val="24"/>
          <w:szCs w:val="24"/>
        </w:rPr>
        <w:t>12.</w:t>
      </w:r>
    </w:p>
    <w:p w:rsidR="00C43B4A" w:rsidRPr="00EF19BA" w:rsidRDefault="00932C5A" w:rsidP="00F9628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9BA">
        <w:rPr>
          <w:rFonts w:ascii="Times New Roman" w:hAnsi="Times New Roman" w:cs="Times New Roman"/>
          <w:sz w:val="24"/>
          <w:szCs w:val="24"/>
        </w:rPr>
        <w:t xml:space="preserve">Для расчета нормативных затрат по указанным видам нормативных затрат используются формулы расчета, установленные </w:t>
      </w:r>
      <w:r w:rsidR="00C43B4A" w:rsidRPr="00EF19BA">
        <w:rPr>
          <w:rFonts w:ascii="Times New Roman" w:hAnsi="Times New Roman" w:cs="Times New Roman"/>
          <w:sz w:val="24"/>
          <w:szCs w:val="24"/>
        </w:rPr>
        <w:t xml:space="preserve">Правилами определения нормативных затрат на обеспечение функций главных распорядителей бюджетных средств </w:t>
      </w:r>
      <w:proofErr w:type="spellStart"/>
      <w:r w:rsidR="00C43B4A" w:rsidRPr="00EF19B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43B4A" w:rsidRPr="00EF19BA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подведомственные муниципальные казенные учреждения), утвержденными постановлением администрации </w:t>
      </w:r>
      <w:proofErr w:type="spellStart"/>
      <w:r w:rsidR="00C43B4A" w:rsidRPr="00EF19BA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43B4A" w:rsidRPr="00EF19BA">
        <w:rPr>
          <w:rFonts w:ascii="Times New Roman" w:hAnsi="Times New Roman" w:cs="Times New Roman"/>
          <w:sz w:val="24"/>
          <w:szCs w:val="24"/>
        </w:rPr>
        <w:t xml:space="preserve"> МР  от 27.05.2016г.№298.</w:t>
      </w:r>
      <w:r w:rsidRPr="00EF19BA">
        <w:rPr>
          <w:rFonts w:ascii="Times New Roman" w:hAnsi="Times New Roman" w:cs="Times New Roman"/>
          <w:sz w:val="24"/>
          <w:szCs w:val="24"/>
        </w:rPr>
        <w:t xml:space="preserve"> и порядок их применения, порядок расчета, не предусматривающий применение формул.</w:t>
      </w:r>
      <w:proofErr w:type="gramEnd"/>
    </w:p>
    <w:p w:rsidR="00C43B4A" w:rsidRPr="00EF19BA" w:rsidRDefault="00932C5A" w:rsidP="00F9628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19BA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="00C43B4A" w:rsidRPr="00EF19BA">
        <w:rPr>
          <w:rFonts w:ascii="Times New Roman" w:hAnsi="Times New Roman" w:cs="Times New Roman"/>
          <w:sz w:val="24"/>
          <w:szCs w:val="24"/>
        </w:rPr>
        <w:t>до Управления</w:t>
      </w:r>
      <w:r w:rsidRPr="00EF19BA">
        <w:rPr>
          <w:rFonts w:ascii="Times New Roman" w:hAnsi="Times New Roman" w:cs="Times New Roman"/>
          <w:sz w:val="24"/>
          <w:szCs w:val="24"/>
        </w:rPr>
        <w:t xml:space="preserve"> на закупку товаров, работ и ус</w:t>
      </w:r>
      <w:r w:rsidR="00C43B4A" w:rsidRPr="00EF19BA">
        <w:rPr>
          <w:rFonts w:ascii="Times New Roman" w:hAnsi="Times New Roman" w:cs="Times New Roman"/>
          <w:sz w:val="24"/>
          <w:szCs w:val="24"/>
        </w:rPr>
        <w:t>луг в рамках исполнения бюджета</w:t>
      </w:r>
      <w:r w:rsidRPr="00EF19BA">
        <w:rPr>
          <w:rFonts w:ascii="Times New Roman" w:hAnsi="Times New Roman" w:cs="Times New Roman"/>
          <w:sz w:val="24"/>
          <w:szCs w:val="24"/>
        </w:rPr>
        <w:t>.</w:t>
      </w:r>
    </w:p>
    <w:p w:rsidR="00536810" w:rsidRPr="00EF19B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536810" w:rsidRPr="00EF19BA" w:rsidRDefault="00932C5A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36810" w:rsidRPr="00EF19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</w:t>
      </w:r>
    </w:p>
    <w:p w:rsidR="00F04DCF" w:rsidRPr="00EF19BA" w:rsidRDefault="00F04DCF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04DCF" w:rsidRPr="00EF19BA" w:rsidRDefault="00F04DCF" w:rsidP="00F04DCF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абонентскую плату</w:t>
      </w:r>
    </w:p>
    <w:p w:rsidR="00F04DCF" w:rsidRPr="00EF19BA" w:rsidRDefault="00F04DCF" w:rsidP="00F04DCF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106"/>
        <w:gridCol w:w="2565"/>
        <w:gridCol w:w="2551"/>
        <w:gridCol w:w="2268"/>
      </w:tblGrid>
      <w:tr w:rsidR="00EF19BA" w:rsidRPr="00EF19BA" w:rsidTr="003A7F2D">
        <w:tc>
          <w:tcPr>
            <w:tcW w:w="3106" w:type="dxa"/>
          </w:tcPr>
          <w:p w:rsidR="00F04DCF" w:rsidRPr="00EF19BA" w:rsidRDefault="00F04DC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565" w:type="dxa"/>
          </w:tcPr>
          <w:p w:rsidR="00F04DCF" w:rsidRPr="00EF19BA" w:rsidRDefault="00F04DCF" w:rsidP="00F04DC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2551" w:type="dxa"/>
          </w:tcPr>
          <w:p w:rsidR="00F04DCF" w:rsidRPr="00EF19BA" w:rsidRDefault="00F04DC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F04DCF" w:rsidRPr="00EF19BA" w:rsidRDefault="00F04DC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EF19BA" w:rsidRPr="00EF19BA" w:rsidTr="003A7F2D">
        <w:tc>
          <w:tcPr>
            <w:tcW w:w="3106" w:type="dxa"/>
          </w:tcPr>
          <w:p w:rsidR="00F04DCF" w:rsidRPr="00EF19BA" w:rsidRDefault="00F04DC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</w:tcPr>
          <w:p w:rsidR="00F04DCF" w:rsidRPr="00EF19B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247,80</w:t>
            </w:r>
          </w:p>
        </w:tc>
        <w:tc>
          <w:tcPr>
            <w:tcW w:w="2551" w:type="dxa"/>
          </w:tcPr>
          <w:p w:rsidR="00F04DCF" w:rsidRPr="00EF19B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F04DCF" w:rsidRPr="00EF19B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14868,00</w:t>
            </w:r>
          </w:p>
        </w:tc>
      </w:tr>
    </w:tbl>
    <w:p w:rsidR="00F222C8" w:rsidRPr="00EF19BA" w:rsidRDefault="00F222C8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4DCF" w:rsidRPr="00EF19BA" w:rsidRDefault="003F2755" w:rsidP="003F2755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</w:p>
    <w:p w:rsidR="003A7F2D" w:rsidRPr="00EF19BA" w:rsidRDefault="003A7F2D" w:rsidP="003A7F2D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560"/>
        <w:gridCol w:w="1842"/>
        <w:gridCol w:w="1134"/>
      </w:tblGrid>
      <w:tr w:rsidR="00EF19BA" w:rsidRPr="00EF19BA" w:rsidTr="003A7F2D">
        <w:tc>
          <w:tcPr>
            <w:tcW w:w="2127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абонентских номеров</w:t>
            </w:r>
          </w:p>
        </w:tc>
        <w:tc>
          <w:tcPr>
            <w:tcW w:w="2268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1560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Цена минуты разговора при местных телефонных соединениях,  рублей</w:t>
            </w:r>
          </w:p>
        </w:tc>
        <w:tc>
          <w:tcPr>
            <w:tcW w:w="1842" w:type="dxa"/>
          </w:tcPr>
          <w:p w:rsidR="003A7F2D" w:rsidRPr="00EF19BA" w:rsidRDefault="003A7F2D" w:rsidP="003A7F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3A7F2D" w:rsidRPr="00EF19BA" w:rsidRDefault="003A7F2D" w:rsidP="003A7F2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Расходы в месяц, рублей</w:t>
            </w:r>
          </w:p>
        </w:tc>
      </w:tr>
      <w:tr w:rsidR="00EF19BA" w:rsidRPr="00EF19BA" w:rsidTr="003A7F2D">
        <w:tc>
          <w:tcPr>
            <w:tcW w:w="2127" w:type="dxa"/>
          </w:tcPr>
          <w:p w:rsidR="003A7F2D" w:rsidRPr="00EF19BA" w:rsidRDefault="003A7F2D" w:rsidP="003F2755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1559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21032,00</w:t>
            </w:r>
          </w:p>
        </w:tc>
      </w:tr>
      <w:tr w:rsidR="00EF19BA" w:rsidRPr="00EF19BA" w:rsidTr="003A7F2D">
        <w:tc>
          <w:tcPr>
            <w:tcW w:w="2127" w:type="dxa"/>
          </w:tcPr>
          <w:p w:rsidR="003A7F2D" w:rsidRPr="00EF19BA" w:rsidRDefault="003A7F2D" w:rsidP="003F2755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Междугородние телефонные соединения</w:t>
            </w:r>
          </w:p>
        </w:tc>
        <w:tc>
          <w:tcPr>
            <w:tcW w:w="1559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3A7F2D" w:rsidRPr="00EF19BA" w:rsidRDefault="003A7F2D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7F2D" w:rsidRPr="00EF19BA" w:rsidRDefault="005074F9" w:rsidP="003A7F2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12100,00</w:t>
            </w:r>
          </w:p>
        </w:tc>
      </w:tr>
    </w:tbl>
    <w:p w:rsidR="003F2755" w:rsidRPr="00EF19BA" w:rsidRDefault="003F2755" w:rsidP="003F2755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536810" w:rsidRPr="004957C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2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536810" w:rsidRPr="00305CD5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36810" w:rsidRPr="00305CD5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</w:t>
      </w:r>
      <w:r w:rsidR="008242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</w:t>
      </w: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АНИЕ ИМУЩЕСТВА</w:t>
      </w:r>
    </w:p>
    <w:p w:rsidR="00536810" w:rsidRPr="004957CA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1"/>
        <w:gridCol w:w="3249"/>
        <w:gridCol w:w="3631"/>
      </w:tblGrid>
      <w:tr w:rsidR="004957CA" w:rsidRPr="004957CA" w:rsidTr="004B6A1F">
        <w:tc>
          <w:tcPr>
            <w:tcW w:w="2691" w:type="dxa"/>
          </w:tcPr>
          <w:p w:rsidR="004B6A1F" w:rsidRPr="004957CA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4B6A1F" w:rsidRPr="004957CA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631" w:type="dxa"/>
          </w:tcPr>
          <w:p w:rsidR="004B6A1F" w:rsidRPr="004957CA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-профилактического ремонта  в расчете на 1 единицу в год, рублей</w:t>
            </w:r>
          </w:p>
        </w:tc>
      </w:tr>
      <w:tr w:rsidR="004957CA" w:rsidRPr="004957CA" w:rsidTr="004B6A1F">
        <w:tc>
          <w:tcPr>
            <w:tcW w:w="2691" w:type="dxa"/>
          </w:tcPr>
          <w:p w:rsidR="004B6A1F" w:rsidRPr="004957CA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3249" w:type="dxa"/>
          </w:tcPr>
          <w:p w:rsidR="004B6A1F" w:rsidRPr="004957CA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</w:tcPr>
          <w:p w:rsidR="004B6A1F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36000,00</w:t>
            </w:r>
          </w:p>
        </w:tc>
      </w:tr>
      <w:tr w:rsidR="00871AD6" w:rsidRPr="00871AD6" w:rsidTr="004B6A1F">
        <w:tc>
          <w:tcPr>
            <w:tcW w:w="2691" w:type="dxa"/>
          </w:tcPr>
          <w:p w:rsidR="004B6A1F" w:rsidRPr="00871AD6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3249" w:type="dxa"/>
          </w:tcPr>
          <w:p w:rsidR="004B6A1F" w:rsidRPr="00871AD6" w:rsidRDefault="004B6A1F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</w:tcPr>
          <w:p w:rsidR="004B6A1F" w:rsidRPr="00871AD6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44 700,00</w:t>
            </w:r>
          </w:p>
        </w:tc>
      </w:tr>
    </w:tbl>
    <w:p w:rsidR="005443E6" w:rsidRPr="00EF19BA" w:rsidRDefault="005443E6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536810" w:rsidRPr="004957C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3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536810" w:rsidRPr="004957C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6810" w:rsidRPr="00305CD5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</w:t>
      </w:r>
      <w:r w:rsidR="00C52008"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 И УСЛУГ, НЕ ОТНОСЯЩИХСЯ К ЗАТ</w:t>
      </w: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</w:t>
      </w:r>
      <w:r w:rsidR="00C52008"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ТАМ НА УСЛУГИ СВЯЗИ, АРЕНДУ И СОДЕРЖАНИЕ ИМУЩЕСТВА</w:t>
      </w:r>
    </w:p>
    <w:p w:rsidR="00C735BA" w:rsidRDefault="00C735BA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35BA" w:rsidRPr="00305CD5" w:rsidRDefault="00C735BA" w:rsidP="00305CD5">
      <w:pPr>
        <w:pStyle w:val="a5"/>
        <w:numPr>
          <w:ilvl w:val="1"/>
          <w:numId w:val="10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 сопровождению справочно-правовых систем</w:t>
      </w:r>
    </w:p>
    <w:p w:rsidR="00C735BA" w:rsidRDefault="00C735BA" w:rsidP="00C735BA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3094"/>
        <w:gridCol w:w="3073"/>
      </w:tblGrid>
      <w:tr w:rsidR="00C735BA" w:rsidTr="00953825">
        <w:trPr>
          <w:jc w:val="center"/>
        </w:trPr>
        <w:tc>
          <w:tcPr>
            <w:tcW w:w="3094" w:type="dxa"/>
          </w:tcPr>
          <w:p w:rsidR="00C735BA" w:rsidRDefault="00C735BA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справочно-правовых систем</w:t>
            </w:r>
          </w:p>
        </w:tc>
        <w:tc>
          <w:tcPr>
            <w:tcW w:w="3073" w:type="dxa"/>
          </w:tcPr>
          <w:p w:rsidR="00C735BA" w:rsidRDefault="00C735BA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</w:t>
            </w:r>
            <w:r w:rsidR="009538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оплату услуг в год, рублей</w:t>
            </w:r>
          </w:p>
        </w:tc>
      </w:tr>
      <w:tr w:rsidR="00953825" w:rsidTr="00953825">
        <w:trPr>
          <w:jc w:val="center"/>
        </w:trPr>
        <w:tc>
          <w:tcPr>
            <w:tcW w:w="3094" w:type="dxa"/>
          </w:tcPr>
          <w:p w:rsidR="00953825" w:rsidRDefault="00953825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</w:tcPr>
          <w:p w:rsidR="00953825" w:rsidRDefault="005074F9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71800,00</w:t>
            </w:r>
          </w:p>
        </w:tc>
      </w:tr>
    </w:tbl>
    <w:p w:rsidR="00C735BA" w:rsidRPr="00C735BA" w:rsidRDefault="00C735BA" w:rsidP="00C735BA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6A1F" w:rsidRDefault="00953825" w:rsidP="00305CD5">
      <w:pPr>
        <w:pStyle w:val="a5"/>
        <w:numPr>
          <w:ilvl w:val="1"/>
          <w:numId w:val="10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оплату услуг по сопровождению и приобретению иного программного обеспечения</w:t>
      </w:r>
    </w:p>
    <w:p w:rsidR="00305CD5" w:rsidRPr="00305CD5" w:rsidRDefault="00305CD5" w:rsidP="00305CD5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4602"/>
        <w:gridCol w:w="4594"/>
      </w:tblGrid>
      <w:tr w:rsidR="00953825" w:rsidRPr="00953825" w:rsidTr="00953825">
        <w:tc>
          <w:tcPr>
            <w:tcW w:w="4785" w:type="dxa"/>
          </w:tcPr>
          <w:p w:rsidR="00953825" w:rsidRPr="00953825" w:rsidRDefault="00953825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38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4786" w:type="dxa"/>
          </w:tcPr>
          <w:p w:rsidR="00953825" w:rsidRPr="00953825" w:rsidRDefault="00953825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38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оплату услуг в год, рублей</w:t>
            </w:r>
          </w:p>
        </w:tc>
      </w:tr>
      <w:tr w:rsidR="00953825" w:rsidRPr="00953825" w:rsidTr="00953825">
        <w:tc>
          <w:tcPr>
            <w:tcW w:w="4785" w:type="dxa"/>
          </w:tcPr>
          <w:p w:rsidR="00953825" w:rsidRPr="00953825" w:rsidRDefault="00953825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953825" w:rsidRPr="00953825" w:rsidRDefault="005074F9" w:rsidP="00953825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249500,00</w:t>
            </w:r>
          </w:p>
        </w:tc>
      </w:tr>
    </w:tbl>
    <w:p w:rsidR="00953825" w:rsidRPr="00953825" w:rsidRDefault="00953825" w:rsidP="00953825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E32704" w:rsidRPr="00305CD5" w:rsidRDefault="00305CD5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3.3</w:t>
      </w:r>
      <w:r w:rsidR="00E32704"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Затраты на проведение аттестационных, проверочных и контрольных мероприятий</w:t>
      </w:r>
    </w:p>
    <w:p w:rsidR="004B6A1F" w:rsidRPr="004957CA" w:rsidRDefault="004B6A1F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5"/>
      </w:tblGrid>
      <w:tr w:rsidR="005074F9" w:rsidRPr="004957CA" w:rsidTr="005074F9">
        <w:trPr>
          <w:jc w:val="center"/>
        </w:trPr>
        <w:tc>
          <w:tcPr>
            <w:tcW w:w="1914" w:type="dxa"/>
          </w:tcPr>
          <w:p w:rsidR="005074F9" w:rsidRPr="004957CA" w:rsidRDefault="005074F9" w:rsidP="005074F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 оборудования (устройств), требующих проверки</w:t>
            </w:r>
          </w:p>
        </w:tc>
        <w:tc>
          <w:tcPr>
            <w:tcW w:w="1914" w:type="dxa"/>
          </w:tcPr>
          <w:p w:rsidR="005074F9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проверки 1 единицы оборудования (устройств), требующих проверки</w:t>
            </w:r>
          </w:p>
        </w:tc>
        <w:tc>
          <w:tcPr>
            <w:tcW w:w="1915" w:type="dxa"/>
          </w:tcPr>
          <w:p w:rsidR="005074F9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5074F9" w:rsidRPr="004957CA" w:rsidTr="005074F9">
        <w:trPr>
          <w:jc w:val="center"/>
        </w:trPr>
        <w:tc>
          <w:tcPr>
            <w:tcW w:w="1914" w:type="dxa"/>
          </w:tcPr>
          <w:p w:rsidR="005074F9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5074F9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менее 694</w:t>
            </w:r>
          </w:p>
        </w:tc>
        <w:tc>
          <w:tcPr>
            <w:tcW w:w="1915" w:type="dxa"/>
          </w:tcPr>
          <w:p w:rsidR="005074F9" w:rsidRPr="004957CA" w:rsidRDefault="005074F9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75000,00</w:t>
            </w:r>
          </w:p>
        </w:tc>
      </w:tr>
    </w:tbl>
    <w:p w:rsidR="004B6A1F" w:rsidRPr="00EF19BA" w:rsidRDefault="004B6A1F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B6A1F" w:rsidRPr="00EF19BA" w:rsidRDefault="004B6A1F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536810" w:rsidRPr="004957C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4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4957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536810" w:rsidRPr="004957CA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6810" w:rsidRPr="00305CD5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ОСНОВНЫХ СРЕДСТВ</w:t>
      </w:r>
    </w:p>
    <w:p w:rsidR="00AB1D9C" w:rsidRPr="00EF19BA" w:rsidRDefault="00AB1D9C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95"/>
        <w:gridCol w:w="1499"/>
        <w:gridCol w:w="1652"/>
        <w:gridCol w:w="1426"/>
      </w:tblGrid>
      <w:tr w:rsidR="004957CA" w:rsidRPr="00EF19BA" w:rsidTr="004957CA">
        <w:trPr>
          <w:trHeight w:val="15"/>
        </w:trPr>
        <w:tc>
          <w:tcPr>
            <w:tcW w:w="622" w:type="dxa"/>
            <w:hideMark/>
          </w:tcPr>
          <w:p w:rsidR="004957CA" w:rsidRPr="00EF19BA" w:rsidRDefault="004957CA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hideMark/>
          </w:tcPr>
          <w:p w:rsidR="004957CA" w:rsidRPr="00EF19BA" w:rsidRDefault="004957CA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4957CA" w:rsidRPr="00EF19BA" w:rsidRDefault="004957CA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4957CA" w:rsidRPr="00EF19BA" w:rsidRDefault="004957CA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4957CA" w:rsidRPr="00EF19BA" w:rsidRDefault="004957CA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57CA" w:rsidRPr="004957CA" w:rsidTr="004957C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4957CA" w:rsidRDefault="004957CA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4957CA" w:rsidRDefault="004957CA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4957CA" w:rsidRDefault="004957CA" w:rsidP="004957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4957CA" w:rsidRDefault="004957CA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не более, рублей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4957CA" w:rsidRDefault="004957CA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затраты, рублей </w:t>
            </w:r>
          </w:p>
        </w:tc>
      </w:tr>
      <w:tr w:rsidR="00612A4D" w:rsidRPr="00612A4D" w:rsidTr="004957C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612A4D" w:rsidRDefault="004957CA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7CA" w:rsidRPr="00612A4D" w:rsidRDefault="00612A4D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7CA" w:rsidRPr="00612A4D" w:rsidRDefault="00612A4D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7CA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7CA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5074F9" w:rsidRPr="00612A4D" w:rsidTr="004957C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4F9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4F9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4F9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4F9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4F9" w:rsidRPr="00612A4D" w:rsidRDefault="005074F9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</w:tr>
    </w:tbl>
    <w:p w:rsidR="00AB1D9C" w:rsidRPr="00EF19BA" w:rsidRDefault="00AB1D9C" w:rsidP="00AB1D9C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AB1D9C" w:rsidRPr="00612A4D" w:rsidRDefault="00AB1D9C" w:rsidP="00AB1D9C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2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Объем расходов, рассчитанный с применением нормативных затрат, может быть изменен по решению начальника Управления в пределах утвержденных на эти цели лимитов бюджетных обязательств по соответствующему коду классификации расходов бюджетов.  </w:t>
      </w:r>
    </w:p>
    <w:p w:rsidR="00536810" w:rsidRPr="00EF19B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N </w:t>
      </w:r>
      <w:r w:rsidR="00612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536810" w:rsidRPr="00EF19BA" w:rsidRDefault="00536810" w:rsidP="005368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нормативным затратам на обеспечение</w:t>
      </w:r>
      <w:r w:rsidRPr="00EF1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536810" w:rsidRPr="00EF19BA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2D1" w:rsidRPr="00305CD5" w:rsidRDefault="00DB62D1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ИНФОРМАЦИОННО-КОММУНИКАЦИОННЫЕТЕХНОЛЛОГИИ</w:t>
      </w:r>
    </w:p>
    <w:p w:rsidR="00445CD3" w:rsidRPr="00EF19BA" w:rsidRDefault="00445CD3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CD3" w:rsidRDefault="00DC6996" w:rsidP="00305CD5">
      <w:pPr>
        <w:pStyle w:val="a5"/>
        <w:numPr>
          <w:ilvl w:val="1"/>
          <w:numId w:val="1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 (почтовый ящик)</w:t>
      </w:r>
    </w:p>
    <w:p w:rsidR="00DC6996" w:rsidRDefault="00DC6996" w:rsidP="00DC699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106"/>
        <w:gridCol w:w="2565"/>
        <w:gridCol w:w="2551"/>
        <w:gridCol w:w="2268"/>
      </w:tblGrid>
      <w:tr w:rsidR="00DC6996" w:rsidRPr="00EF19BA" w:rsidTr="009A456B">
        <w:tc>
          <w:tcPr>
            <w:tcW w:w="3106" w:type="dxa"/>
          </w:tcPr>
          <w:p w:rsidR="00DC6996" w:rsidRPr="00EF19BA" w:rsidRDefault="00DC6996" w:rsidP="00DC69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Количество абонентских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ящиков</w:t>
            </w:r>
          </w:p>
        </w:tc>
        <w:tc>
          <w:tcPr>
            <w:tcW w:w="2565" w:type="dxa"/>
          </w:tcPr>
          <w:p w:rsidR="00DC6996" w:rsidRPr="00EF19BA" w:rsidRDefault="00DC6996" w:rsidP="00DC699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Ежемесячная плата в расчете на 1 абонентский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ящик</w:t>
            </w: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551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DC6996" w:rsidRPr="00EF19BA" w:rsidTr="009A456B">
        <w:tc>
          <w:tcPr>
            <w:tcW w:w="3106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51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C6996" w:rsidRPr="00EF19BA" w:rsidRDefault="00DC6996" w:rsidP="009A45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0962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DC6996" w:rsidRDefault="00DC6996" w:rsidP="00DC699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C6996" w:rsidRPr="00305CD5" w:rsidRDefault="00DC6996" w:rsidP="00305CD5">
      <w:pPr>
        <w:pStyle w:val="a5"/>
        <w:numPr>
          <w:ilvl w:val="1"/>
          <w:numId w:val="1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почтовой связи</w:t>
      </w:r>
    </w:p>
    <w:p w:rsidR="00445CD3" w:rsidRPr="00EF19BA" w:rsidRDefault="00445CD3" w:rsidP="00445CD3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3080"/>
        <w:gridCol w:w="3073"/>
        <w:gridCol w:w="3043"/>
      </w:tblGrid>
      <w:tr w:rsidR="00EF19BA" w:rsidRPr="00EF19BA" w:rsidTr="00445CD3">
        <w:trPr>
          <w:jc w:val="center"/>
        </w:trPr>
        <w:tc>
          <w:tcPr>
            <w:tcW w:w="3190" w:type="dxa"/>
          </w:tcPr>
          <w:p w:rsidR="00445CD3" w:rsidRPr="00EF19BA" w:rsidRDefault="00445CD3" w:rsidP="00445CD3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3190" w:type="dxa"/>
          </w:tcPr>
          <w:p w:rsidR="00445CD3" w:rsidRPr="00EF19BA" w:rsidRDefault="00445CD3" w:rsidP="00445CD3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одного почтового отправления</w:t>
            </w:r>
          </w:p>
        </w:tc>
        <w:tc>
          <w:tcPr>
            <w:tcW w:w="3191" w:type="dxa"/>
          </w:tcPr>
          <w:p w:rsidR="00445CD3" w:rsidRPr="00EF19BA" w:rsidRDefault="00445CD3" w:rsidP="00445CD3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9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EF19BA" w:rsidRPr="00EF19BA" w:rsidTr="00445CD3">
        <w:trPr>
          <w:jc w:val="center"/>
        </w:trPr>
        <w:tc>
          <w:tcPr>
            <w:tcW w:w="3190" w:type="dxa"/>
          </w:tcPr>
          <w:p w:rsidR="00445CD3" w:rsidRPr="00EF19BA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90" w:type="dxa"/>
          </w:tcPr>
          <w:p w:rsidR="00445CD3" w:rsidRPr="00EF19BA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3191" w:type="dxa"/>
          </w:tcPr>
          <w:p w:rsidR="00445CD3" w:rsidRPr="00EF19BA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7000,00</w:t>
            </w:r>
          </w:p>
        </w:tc>
      </w:tr>
    </w:tbl>
    <w:p w:rsidR="00445CD3" w:rsidRPr="00EF19BA" w:rsidRDefault="00445CD3" w:rsidP="00445CD3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DB62D1" w:rsidRPr="00871AD6" w:rsidRDefault="00DB62D1" w:rsidP="00DB62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N </w:t>
      </w:r>
      <w:r w:rsidR="00612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DB62D1" w:rsidRPr="00871AD6" w:rsidRDefault="00DB62D1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6810" w:rsidRPr="00871AD6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2D1" w:rsidRPr="00305CD5" w:rsidRDefault="00C52008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</w:t>
      </w:r>
      <w:r w:rsidR="00DB62D1"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</w:t>
      </w: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</w:t>
      </w:r>
      <w:r w:rsidR="00DB62D1"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ТЫ НА КОММУНАЛЬНЫЕ УСЛУГИ</w:t>
      </w:r>
    </w:p>
    <w:p w:rsidR="00305CD5" w:rsidRPr="00871AD6" w:rsidRDefault="00305CD5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19BA" w:rsidRPr="00305CD5" w:rsidRDefault="00EF19BA" w:rsidP="00305CD5">
      <w:pPr>
        <w:pStyle w:val="a5"/>
        <w:numPr>
          <w:ilvl w:val="1"/>
          <w:numId w:val="1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теплоснабжение</w:t>
      </w:r>
    </w:p>
    <w:p w:rsidR="00EF19BA" w:rsidRPr="00871AD6" w:rsidRDefault="00EF19BA" w:rsidP="00EF19BA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AD6" w:rsidRPr="00871AD6" w:rsidTr="00EF19BA">
        <w:tc>
          <w:tcPr>
            <w:tcW w:w="3190" w:type="dxa"/>
          </w:tcPr>
          <w:p w:rsidR="00EF19BA" w:rsidRPr="00871AD6" w:rsidRDefault="00EF19BA" w:rsidP="00EF19B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Расчетная потребность в </w:t>
            </w:r>
            <w:proofErr w:type="spellStart"/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отопление зданий, помещений в год</w:t>
            </w:r>
          </w:p>
        </w:tc>
        <w:tc>
          <w:tcPr>
            <w:tcW w:w="3190" w:type="dxa"/>
          </w:tcPr>
          <w:p w:rsidR="00EF19BA" w:rsidRPr="00871AD6" w:rsidRDefault="00871AD6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теплоснабжение, рублей</w:t>
            </w:r>
          </w:p>
        </w:tc>
        <w:tc>
          <w:tcPr>
            <w:tcW w:w="3191" w:type="dxa"/>
          </w:tcPr>
          <w:p w:rsidR="00EF19BA" w:rsidRPr="00871AD6" w:rsidRDefault="00871AD6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871AD6" w:rsidRPr="00871AD6" w:rsidTr="00EF19BA">
        <w:tc>
          <w:tcPr>
            <w:tcW w:w="3190" w:type="dxa"/>
          </w:tcPr>
          <w:p w:rsidR="00EF19BA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25,6 Гкал</w:t>
            </w:r>
          </w:p>
        </w:tc>
        <w:tc>
          <w:tcPr>
            <w:tcW w:w="3190" w:type="dxa"/>
          </w:tcPr>
          <w:p w:rsidR="00EF19BA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3218,62</w:t>
            </w:r>
          </w:p>
        </w:tc>
        <w:tc>
          <w:tcPr>
            <w:tcW w:w="3191" w:type="dxa"/>
          </w:tcPr>
          <w:p w:rsidR="00EF19BA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82396.67</w:t>
            </w:r>
          </w:p>
        </w:tc>
      </w:tr>
      <w:tr w:rsidR="00871AD6" w:rsidRPr="00871AD6" w:rsidTr="00EF19BA">
        <w:tc>
          <w:tcPr>
            <w:tcW w:w="3190" w:type="dxa"/>
          </w:tcPr>
          <w:p w:rsidR="00871AD6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7,712 Гкал</w:t>
            </w:r>
          </w:p>
        </w:tc>
        <w:tc>
          <w:tcPr>
            <w:tcW w:w="3190" w:type="dxa"/>
          </w:tcPr>
          <w:p w:rsidR="00871AD6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4925,11</w:t>
            </w:r>
          </w:p>
        </w:tc>
        <w:tc>
          <w:tcPr>
            <w:tcW w:w="3191" w:type="dxa"/>
          </w:tcPr>
          <w:p w:rsidR="00871AD6" w:rsidRPr="00871AD6" w:rsidRDefault="004C5C58" w:rsidP="005368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37982,43</w:t>
            </w:r>
          </w:p>
        </w:tc>
      </w:tr>
    </w:tbl>
    <w:p w:rsidR="00871AD6" w:rsidRDefault="00871AD6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EF19BA" w:rsidRPr="00305CD5" w:rsidRDefault="00871AD6" w:rsidP="00305CD5">
      <w:pPr>
        <w:pStyle w:val="a5"/>
        <w:numPr>
          <w:ilvl w:val="1"/>
          <w:numId w:val="1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холодное водоснабжение и водоотведение</w:t>
      </w:r>
    </w:p>
    <w:p w:rsidR="00871AD6" w:rsidRPr="00871AD6" w:rsidRDefault="00871AD6" w:rsidP="00871AD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1901"/>
        <w:gridCol w:w="1907"/>
        <w:gridCol w:w="1890"/>
        <w:gridCol w:w="1817"/>
        <w:gridCol w:w="1681"/>
      </w:tblGrid>
      <w:tr w:rsidR="00871AD6" w:rsidRPr="00871AD6" w:rsidTr="00871AD6">
        <w:tc>
          <w:tcPr>
            <w:tcW w:w="1907" w:type="dxa"/>
          </w:tcPr>
          <w:p w:rsidR="00871AD6" w:rsidRPr="00871AD6" w:rsidRDefault="00871AD6" w:rsidP="00871AD6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холодном водоснабжении</w:t>
            </w:r>
          </w:p>
        </w:tc>
        <w:tc>
          <w:tcPr>
            <w:tcW w:w="1910" w:type="dxa"/>
          </w:tcPr>
          <w:p w:rsidR="00871AD6" w:rsidRPr="00871AD6" w:rsidRDefault="00871AD6" w:rsidP="00871AD6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холодное водоснабжение, рублей</w:t>
            </w:r>
          </w:p>
        </w:tc>
        <w:tc>
          <w:tcPr>
            <w:tcW w:w="1900" w:type="dxa"/>
          </w:tcPr>
          <w:p w:rsidR="00871AD6" w:rsidRPr="00871AD6" w:rsidRDefault="00871AD6" w:rsidP="00871AD6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водоотведении</w:t>
            </w:r>
          </w:p>
        </w:tc>
        <w:tc>
          <w:tcPr>
            <w:tcW w:w="1739" w:type="dxa"/>
          </w:tcPr>
          <w:p w:rsidR="00871AD6" w:rsidRPr="00871AD6" w:rsidRDefault="00871AD6" w:rsidP="00871AD6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водоотведение, рублей</w:t>
            </w:r>
          </w:p>
        </w:tc>
        <w:tc>
          <w:tcPr>
            <w:tcW w:w="1740" w:type="dxa"/>
          </w:tcPr>
          <w:p w:rsidR="00871AD6" w:rsidRPr="00871AD6" w:rsidRDefault="00871AD6" w:rsidP="00871AD6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871AD6" w:rsidRPr="00871AD6" w:rsidTr="00871AD6">
        <w:tc>
          <w:tcPr>
            <w:tcW w:w="1907" w:type="dxa"/>
          </w:tcPr>
          <w:p w:rsidR="00871AD6" w:rsidRPr="00871AD6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121,52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10" w:type="dxa"/>
          </w:tcPr>
          <w:p w:rsidR="00871AD6" w:rsidRPr="00871AD6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900" w:type="dxa"/>
          </w:tcPr>
          <w:p w:rsidR="00871AD6" w:rsidRPr="00871AD6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51,37 куб. м.</w:t>
            </w:r>
          </w:p>
        </w:tc>
        <w:tc>
          <w:tcPr>
            <w:tcW w:w="1739" w:type="dxa"/>
          </w:tcPr>
          <w:p w:rsidR="00871AD6" w:rsidRPr="00871AD6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740" w:type="dxa"/>
          </w:tcPr>
          <w:p w:rsidR="00871AD6" w:rsidRPr="00871AD6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6425,17</w:t>
            </w:r>
          </w:p>
        </w:tc>
      </w:tr>
    </w:tbl>
    <w:p w:rsidR="003F711F" w:rsidRDefault="003F711F" w:rsidP="00DB62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2D1" w:rsidRPr="00871AD6" w:rsidRDefault="00DB62D1" w:rsidP="00DB62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N </w:t>
      </w:r>
      <w:r w:rsidR="00612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871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DB62D1" w:rsidRPr="00871AD6" w:rsidRDefault="00DB62D1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2D1" w:rsidRPr="00305CD5" w:rsidRDefault="00DB62D1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71AD6" w:rsidRPr="00871AD6" w:rsidRDefault="00871AD6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71AD6" w:rsidRPr="00305CD5" w:rsidRDefault="00871AD6" w:rsidP="00305CD5">
      <w:pPr>
        <w:pStyle w:val="a5"/>
        <w:numPr>
          <w:ilvl w:val="1"/>
          <w:numId w:val="1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вывоз твердых бытовых отходов</w:t>
      </w:r>
    </w:p>
    <w:p w:rsidR="00871AD6" w:rsidRPr="00871AD6" w:rsidRDefault="00871AD6" w:rsidP="00871AD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1AD6" w:rsidRPr="00871AD6" w:rsidTr="00871AD6">
        <w:tc>
          <w:tcPr>
            <w:tcW w:w="3190" w:type="dxa"/>
          </w:tcPr>
          <w:p w:rsidR="00871AD6" w:rsidRPr="00871AD6" w:rsidRDefault="00871AD6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Количество куб. метров твердых бытовых отходов в год</w:t>
            </w:r>
          </w:p>
        </w:tc>
        <w:tc>
          <w:tcPr>
            <w:tcW w:w="3190" w:type="dxa"/>
          </w:tcPr>
          <w:p w:rsidR="00871AD6" w:rsidRPr="00871AD6" w:rsidRDefault="00871AD6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вывоз 1 куб. метра бытовых отходов</w:t>
            </w:r>
          </w:p>
        </w:tc>
        <w:tc>
          <w:tcPr>
            <w:tcW w:w="3191" w:type="dxa"/>
          </w:tcPr>
          <w:p w:rsidR="00871AD6" w:rsidRPr="00871AD6" w:rsidRDefault="00871AD6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1A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4C5C58" w:rsidRPr="004C5C58" w:rsidTr="00871AD6">
        <w:tc>
          <w:tcPr>
            <w:tcW w:w="3190" w:type="dxa"/>
          </w:tcPr>
          <w:p w:rsidR="00871AD6" w:rsidRPr="004C5C58" w:rsidRDefault="004C5C58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5C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6.67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90" w:type="dxa"/>
          </w:tcPr>
          <w:p w:rsidR="00871AD6" w:rsidRPr="004C5C58" w:rsidRDefault="004C5C58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644,68</w:t>
            </w:r>
          </w:p>
        </w:tc>
        <w:tc>
          <w:tcPr>
            <w:tcW w:w="3191" w:type="dxa"/>
          </w:tcPr>
          <w:p w:rsidR="00871AD6" w:rsidRPr="004C5C58" w:rsidRDefault="004C5C58" w:rsidP="00305C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4300,00</w:t>
            </w:r>
          </w:p>
        </w:tc>
      </w:tr>
    </w:tbl>
    <w:p w:rsidR="00871AD6" w:rsidRDefault="00871AD6" w:rsidP="00871A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953825" w:rsidRPr="00305CD5" w:rsidRDefault="00953825" w:rsidP="00305CD5">
      <w:pPr>
        <w:pStyle w:val="a5"/>
        <w:numPr>
          <w:ilvl w:val="1"/>
          <w:numId w:val="1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техническое обслуживание и ремонт транспортных средств</w:t>
      </w:r>
    </w:p>
    <w:p w:rsidR="00F5523B" w:rsidRPr="00F5523B" w:rsidRDefault="00F5523B" w:rsidP="00F5523B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4597"/>
        <w:gridCol w:w="4599"/>
      </w:tblGrid>
      <w:tr w:rsidR="00F5523B" w:rsidRPr="00F5523B" w:rsidTr="00F5523B">
        <w:tc>
          <w:tcPr>
            <w:tcW w:w="4785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техническое обслуживание и ремонт в год, рублей</w:t>
            </w:r>
          </w:p>
        </w:tc>
      </w:tr>
      <w:tr w:rsidR="00F5523B" w:rsidRPr="00F5523B" w:rsidTr="00F5523B">
        <w:tc>
          <w:tcPr>
            <w:tcW w:w="4785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F5523B" w:rsidRPr="00F5523B" w:rsidRDefault="00372E71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</w:t>
            </w:r>
            <w:r w:rsidR="004C5C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000,00</w:t>
            </w:r>
          </w:p>
        </w:tc>
      </w:tr>
    </w:tbl>
    <w:p w:rsidR="00953825" w:rsidRDefault="00953825" w:rsidP="00953825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F5523B" w:rsidRDefault="00F5523B" w:rsidP="00953825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F5523B" w:rsidRPr="00305CD5" w:rsidRDefault="00F5523B" w:rsidP="00305CD5">
      <w:pPr>
        <w:pStyle w:val="a5"/>
        <w:numPr>
          <w:ilvl w:val="1"/>
          <w:numId w:val="1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регламентно</w:t>
      </w:r>
      <w:proofErr w:type="spellEnd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F5523B" w:rsidRPr="00F5523B" w:rsidRDefault="00F5523B" w:rsidP="00F5523B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3116"/>
        <w:gridCol w:w="3064"/>
        <w:gridCol w:w="3016"/>
      </w:tblGrid>
      <w:tr w:rsidR="00F5523B" w:rsidRPr="00F5523B" w:rsidTr="00F5523B">
        <w:trPr>
          <w:jc w:val="center"/>
        </w:trPr>
        <w:tc>
          <w:tcPr>
            <w:tcW w:w="3190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установок кондиционирования</w:t>
            </w:r>
          </w:p>
        </w:tc>
        <w:tc>
          <w:tcPr>
            <w:tcW w:w="3190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обслуживания 1 установки в год, рублей</w:t>
            </w:r>
          </w:p>
        </w:tc>
        <w:tc>
          <w:tcPr>
            <w:tcW w:w="3191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F5523B" w:rsidRPr="00F5523B" w:rsidTr="00F5523B">
        <w:trPr>
          <w:jc w:val="center"/>
        </w:trPr>
        <w:tc>
          <w:tcPr>
            <w:tcW w:w="3190" w:type="dxa"/>
          </w:tcPr>
          <w:p w:rsidR="00F5523B" w:rsidRPr="00F5523B" w:rsidRDefault="00F5523B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F5523B" w:rsidRPr="00F5523B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3191" w:type="dxa"/>
          </w:tcPr>
          <w:p w:rsidR="00F5523B" w:rsidRPr="00F5523B" w:rsidRDefault="004C5C58" w:rsidP="00F5523B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24000,00</w:t>
            </w:r>
          </w:p>
        </w:tc>
      </w:tr>
    </w:tbl>
    <w:p w:rsidR="00DB62D1" w:rsidRPr="00993D6E" w:rsidRDefault="00DB62D1" w:rsidP="00DB62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N </w:t>
      </w:r>
      <w:r w:rsidR="00612A4D"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DB62D1" w:rsidRPr="00993D6E" w:rsidRDefault="00DB62D1" w:rsidP="00DB62D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62D1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305CD5" w:rsidRPr="00305CD5" w:rsidRDefault="00305CD5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2A4D" w:rsidRPr="00305CD5" w:rsidRDefault="00612A4D" w:rsidP="00305CD5">
      <w:pPr>
        <w:pStyle w:val="a5"/>
        <w:numPr>
          <w:ilvl w:val="1"/>
          <w:numId w:val="1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проведение </w:t>
      </w:r>
      <w:proofErr w:type="spellStart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предрейсового</w:t>
      </w:r>
      <w:proofErr w:type="spellEnd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</w:t>
      </w:r>
      <w:proofErr w:type="spellStart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послерейсового</w:t>
      </w:r>
      <w:proofErr w:type="spellEnd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осмотра водителей</w:t>
      </w:r>
    </w:p>
    <w:p w:rsidR="00612A4D" w:rsidRPr="00993D6E" w:rsidRDefault="00612A4D" w:rsidP="00612A4D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3D6E" w:rsidRPr="00993D6E" w:rsidTr="00612A4D">
        <w:tc>
          <w:tcPr>
            <w:tcW w:w="2392" w:type="dxa"/>
          </w:tcPr>
          <w:p w:rsidR="00612A4D" w:rsidRPr="00993D6E" w:rsidRDefault="00612A4D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водителей</w:t>
            </w:r>
          </w:p>
        </w:tc>
        <w:tc>
          <w:tcPr>
            <w:tcW w:w="2393" w:type="dxa"/>
          </w:tcPr>
          <w:p w:rsidR="00612A4D" w:rsidRPr="00993D6E" w:rsidRDefault="00612A4D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осмотра</w:t>
            </w:r>
          </w:p>
        </w:tc>
        <w:tc>
          <w:tcPr>
            <w:tcW w:w="2393" w:type="dxa"/>
          </w:tcPr>
          <w:p w:rsidR="00612A4D" w:rsidRPr="00993D6E" w:rsidRDefault="00612A4D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 w:rsidR="00993D6E"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рабочих дней в году</w:t>
            </w:r>
          </w:p>
        </w:tc>
        <w:tc>
          <w:tcPr>
            <w:tcW w:w="2393" w:type="dxa"/>
          </w:tcPr>
          <w:p w:rsidR="00612A4D" w:rsidRPr="00993D6E" w:rsidRDefault="00993D6E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Итого </w:t>
            </w:r>
            <w:r w:rsid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</w:t>
            </w: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рат, рублей</w:t>
            </w:r>
          </w:p>
        </w:tc>
      </w:tr>
      <w:tr w:rsidR="00993D6E" w:rsidRPr="00993D6E" w:rsidTr="00612A4D">
        <w:tc>
          <w:tcPr>
            <w:tcW w:w="2392" w:type="dxa"/>
          </w:tcPr>
          <w:p w:rsidR="00993D6E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93D6E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2393" w:type="dxa"/>
          </w:tcPr>
          <w:p w:rsidR="00993D6E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993D6E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14300,00</w:t>
            </w:r>
          </w:p>
        </w:tc>
      </w:tr>
    </w:tbl>
    <w:p w:rsidR="00247708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612A4D" w:rsidRPr="00305CD5" w:rsidRDefault="00F5523B" w:rsidP="00305CD5">
      <w:pPr>
        <w:pStyle w:val="a5"/>
        <w:numPr>
          <w:ilvl w:val="1"/>
          <w:numId w:val="1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аттестацию специальных помещений</w:t>
      </w:r>
    </w:p>
    <w:p w:rsidR="00F5523B" w:rsidRPr="00F5523B" w:rsidRDefault="00F5523B" w:rsidP="00F5523B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23B" w:rsidRPr="00F5523B" w:rsidTr="00F5523B">
        <w:tc>
          <w:tcPr>
            <w:tcW w:w="3190" w:type="dxa"/>
          </w:tcPr>
          <w:p w:rsidR="00F5523B" w:rsidRPr="00F5523B" w:rsidRDefault="00F5523B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специальных помещений</w:t>
            </w:r>
          </w:p>
        </w:tc>
        <w:tc>
          <w:tcPr>
            <w:tcW w:w="3190" w:type="dxa"/>
          </w:tcPr>
          <w:p w:rsidR="00F5523B" w:rsidRPr="00F5523B" w:rsidRDefault="00F5523B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специального помещения</w:t>
            </w:r>
          </w:p>
        </w:tc>
        <w:tc>
          <w:tcPr>
            <w:tcW w:w="3191" w:type="dxa"/>
          </w:tcPr>
          <w:p w:rsidR="00F5523B" w:rsidRPr="00F5523B" w:rsidRDefault="00F5523B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55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F5523B" w:rsidRPr="00F5523B" w:rsidTr="00F5523B">
        <w:tc>
          <w:tcPr>
            <w:tcW w:w="3190" w:type="dxa"/>
          </w:tcPr>
          <w:p w:rsidR="00F5523B" w:rsidRPr="00F5523B" w:rsidRDefault="00F5523B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F5523B" w:rsidRPr="00F5523B" w:rsidRDefault="004C5C58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3191" w:type="dxa"/>
          </w:tcPr>
          <w:p w:rsidR="00F5523B" w:rsidRPr="00F5523B" w:rsidRDefault="004C5C58" w:rsidP="00F55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39000,00</w:t>
            </w:r>
          </w:p>
        </w:tc>
      </w:tr>
    </w:tbl>
    <w:p w:rsidR="00F5523B" w:rsidRDefault="00F5523B" w:rsidP="00F55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523B" w:rsidRPr="00305CD5" w:rsidRDefault="00F5523B" w:rsidP="00305CD5">
      <w:pPr>
        <w:pStyle w:val="a5"/>
        <w:numPr>
          <w:ilvl w:val="1"/>
          <w:numId w:val="1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приобретение </w:t>
      </w:r>
      <w:proofErr w:type="gramStart"/>
      <w:r w:rsidRPr="00305CD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3089"/>
        <w:gridCol w:w="3062"/>
        <w:gridCol w:w="3045"/>
      </w:tblGrid>
      <w:tr w:rsidR="00E23E87" w:rsidTr="00E23E87">
        <w:tc>
          <w:tcPr>
            <w:tcW w:w="3190" w:type="dxa"/>
          </w:tcPr>
          <w:p w:rsidR="00E23E87" w:rsidRDefault="00E23E87" w:rsidP="00F5523B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Количество транспортных средств</w:t>
            </w:r>
          </w:p>
        </w:tc>
        <w:tc>
          <w:tcPr>
            <w:tcW w:w="3190" w:type="dxa"/>
          </w:tcPr>
          <w:p w:rsidR="00E23E87" w:rsidRDefault="00E23E87" w:rsidP="00F5523B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страховой тариф</w:t>
            </w:r>
          </w:p>
        </w:tc>
        <w:tc>
          <w:tcPr>
            <w:tcW w:w="3191" w:type="dxa"/>
          </w:tcPr>
          <w:p w:rsidR="00E23E87" w:rsidRDefault="00E23E87" w:rsidP="00F5523B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</w:t>
            </w: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рат, рублей</w:t>
            </w:r>
          </w:p>
        </w:tc>
      </w:tr>
      <w:tr w:rsidR="00E23E87" w:rsidTr="00E23E87">
        <w:tc>
          <w:tcPr>
            <w:tcW w:w="3190" w:type="dxa"/>
          </w:tcPr>
          <w:p w:rsidR="00E23E87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E23E87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3191" w:type="dxa"/>
          </w:tcPr>
          <w:p w:rsidR="00E23E87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</w:tr>
    </w:tbl>
    <w:p w:rsidR="00F5523B" w:rsidRPr="00F5523B" w:rsidRDefault="00F5523B" w:rsidP="00F5523B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708" w:rsidRPr="00993D6E" w:rsidRDefault="00247708" w:rsidP="00247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N </w:t>
      </w:r>
      <w:r w:rsidR="00C52008"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247708" w:rsidRPr="00993D6E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708" w:rsidRPr="003F711F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47708" w:rsidRPr="00993D6E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93D6E" w:rsidRPr="00993D6E" w:rsidTr="003F711F">
        <w:trPr>
          <w:jc w:val="center"/>
        </w:trPr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  <w:proofErr w:type="gramStart"/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предмета за единицу не более, рублей</w:t>
            </w:r>
          </w:p>
        </w:tc>
      </w:tr>
      <w:tr w:rsidR="00993D6E" w:rsidRPr="00993D6E" w:rsidTr="003F711F">
        <w:trPr>
          <w:jc w:val="center"/>
        </w:trPr>
        <w:tc>
          <w:tcPr>
            <w:tcW w:w="1914" w:type="dxa"/>
          </w:tcPr>
          <w:p w:rsidR="00AB49C6" w:rsidRPr="00993D6E" w:rsidRDefault="00993D6E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AB49C6" w:rsidRPr="00993D6E" w:rsidRDefault="00993D6E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Офисный стул</w:t>
            </w:r>
          </w:p>
        </w:tc>
        <w:tc>
          <w:tcPr>
            <w:tcW w:w="1914" w:type="dxa"/>
          </w:tcPr>
          <w:p w:rsidR="00AB49C6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AB49C6" w:rsidRPr="00993D6E" w:rsidRDefault="004C5C58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1250,00</w:t>
            </w:r>
          </w:p>
        </w:tc>
      </w:tr>
      <w:tr w:rsidR="00993D6E" w:rsidRPr="00993D6E" w:rsidTr="003F711F">
        <w:trPr>
          <w:jc w:val="center"/>
        </w:trPr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49C6" w:rsidRPr="00993D6E" w:rsidRDefault="00AB49C6" w:rsidP="00DB62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B49C6" w:rsidRPr="00EF19BA" w:rsidRDefault="00AB49C6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47708" w:rsidRPr="00EF19BA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47708" w:rsidRPr="00993D6E" w:rsidRDefault="00247708" w:rsidP="00247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  <w:r w:rsidR="00C52008"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993D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247708" w:rsidRPr="00993D6E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708" w:rsidRPr="003F711F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МАТЕРИАЛЬНЫХ ЗАПАСОВ, НЕ ОТНЕСЕННЫХ К ЗАТРАТАМ НА ПРИОБРЕТЕНИЕ МАТЕРИАЛЬНЫХ ЗАПАСОВ В РАМКАХ ЗАТРАТ НА ИНФОРМАЦИОННО-КУММУНИКАЦИОННЫЕ ТЕХНОЛОГИИ</w:t>
      </w:r>
    </w:p>
    <w:p w:rsidR="00993D6E" w:rsidRPr="00993D6E" w:rsidRDefault="00993D6E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708" w:rsidRPr="003F711F" w:rsidRDefault="00993D6E" w:rsidP="003F711F">
      <w:pPr>
        <w:pStyle w:val="a5"/>
        <w:numPr>
          <w:ilvl w:val="1"/>
          <w:numId w:val="1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993D6E" w:rsidRDefault="00993D6E" w:rsidP="00993D6E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9384" w:type="dxa"/>
        <w:jc w:val="center"/>
        <w:tblInd w:w="375" w:type="dxa"/>
        <w:tblLook w:val="04A0" w:firstRow="1" w:lastRow="0" w:firstColumn="1" w:lastColumn="0" w:noHBand="0" w:noVBand="1"/>
      </w:tblPr>
      <w:tblGrid>
        <w:gridCol w:w="777"/>
        <w:gridCol w:w="3614"/>
        <w:gridCol w:w="1310"/>
        <w:gridCol w:w="1437"/>
        <w:gridCol w:w="1071"/>
        <w:gridCol w:w="1175"/>
      </w:tblGrid>
      <w:tr w:rsidR="006C17D7" w:rsidRPr="00993D6E" w:rsidTr="004C5C58">
        <w:trPr>
          <w:jc w:val="center"/>
        </w:trPr>
        <w:tc>
          <w:tcPr>
            <w:tcW w:w="777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  <w:proofErr w:type="gramStart"/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4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10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7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1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1 предмет</w:t>
            </w:r>
          </w:p>
        </w:tc>
        <w:tc>
          <w:tcPr>
            <w:tcW w:w="1175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3D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6C17D7" w:rsidRPr="00993D6E" w:rsidTr="004C5C58">
        <w:trPr>
          <w:jc w:val="center"/>
        </w:trPr>
        <w:tc>
          <w:tcPr>
            <w:tcW w:w="777" w:type="dxa"/>
          </w:tcPr>
          <w:p w:rsidR="00993D6E" w:rsidRPr="00993D6E" w:rsidRDefault="004C5C58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Бумага А-4</w:t>
            </w:r>
          </w:p>
        </w:tc>
        <w:tc>
          <w:tcPr>
            <w:tcW w:w="1310" w:type="dxa"/>
          </w:tcPr>
          <w:p w:rsidR="00993D6E" w:rsidRPr="00993D6E" w:rsidRDefault="00993D6E" w:rsidP="00993D6E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37" w:type="dxa"/>
          </w:tcPr>
          <w:p w:rsidR="00993D6E" w:rsidRPr="00993D6E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</w:tcPr>
          <w:p w:rsidR="00993D6E" w:rsidRPr="00993D6E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5" w:type="dxa"/>
          </w:tcPr>
          <w:p w:rsidR="00993D6E" w:rsidRPr="00993D6E" w:rsidRDefault="004C5C58" w:rsidP="004C5C5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60000,00</w:t>
            </w:r>
          </w:p>
        </w:tc>
      </w:tr>
    </w:tbl>
    <w:p w:rsidR="00993D6E" w:rsidRDefault="00993D6E" w:rsidP="00993D6E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6C17D7" w:rsidRPr="003F711F" w:rsidRDefault="006C17D7" w:rsidP="003F711F">
      <w:pPr>
        <w:pStyle w:val="a5"/>
        <w:numPr>
          <w:ilvl w:val="1"/>
          <w:numId w:val="1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хозяйственных товаров</w:t>
      </w:r>
    </w:p>
    <w:p w:rsidR="006C17D7" w:rsidRPr="00E443CD" w:rsidRDefault="006C17D7" w:rsidP="006C17D7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20"/>
        <w:gridCol w:w="1484"/>
        <w:gridCol w:w="1310"/>
        <w:gridCol w:w="1748"/>
        <w:gridCol w:w="1438"/>
      </w:tblGrid>
      <w:tr w:rsidR="00E443CD" w:rsidRPr="00E443CD" w:rsidTr="00782240">
        <w:trPr>
          <w:trHeight w:val="15"/>
        </w:trPr>
        <w:tc>
          <w:tcPr>
            <w:tcW w:w="655" w:type="dxa"/>
            <w:hideMark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hideMark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hideMark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hideMark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hideMark/>
          </w:tcPr>
          <w:p w:rsidR="00782240" w:rsidRPr="00E443CD" w:rsidRDefault="00782240" w:rsidP="00AA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CD" w:rsidRPr="00E443CD" w:rsidTr="0078224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единицу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в год,  рублей</w:t>
            </w:r>
          </w:p>
        </w:tc>
      </w:tr>
      <w:tr w:rsidR="00E443CD" w:rsidRPr="00E443CD" w:rsidTr="0078224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3CD" w:rsidRPr="00E443CD" w:rsidTr="0078224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4C5C58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(жидкое)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240" w:rsidRPr="00E443CD" w:rsidRDefault="00782240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240" w:rsidRPr="00E443CD" w:rsidRDefault="004C5C58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240" w:rsidRPr="00E443CD" w:rsidRDefault="00C54DD8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240" w:rsidRPr="00E443CD" w:rsidRDefault="00C54DD8" w:rsidP="00AA5A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AB49C6" w:rsidRPr="00EF19BA" w:rsidRDefault="00AB49C6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AB49C6" w:rsidRDefault="00E443CD" w:rsidP="003F711F">
      <w:pPr>
        <w:pStyle w:val="a5"/>
        <w:numPr>
          <w:ilvl w:val="1"/>
          <w:numId w:val="1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43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приобретение горюче-смазочных материалов</w:t>
      </w:r>
    </w:p>
    <w:p w:rsidR="00E443CD" w:rsidRPr="00E443CD" w:rsidRDefault="00E443CD" w:rsidP="00E443CD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2273"/>
        <w:gridCol w:w="2305"/>
        <w:gridCol w:w="2337"/>
        <w:gridCol w:w="2281"/>
      </w:tblGrid>
      <w:tr w:rsidR="00E443CD" w:rsidRPr="00E443CD" w:rsidTr="00E443CD">
        <w:trPr>
          <w:jc w:val="center"/>
        </w:trPr>
        <w:tc>
          <w:tcPr>
            <w:tcW w:w="2392" w:type="dxa"/>
          </w:tcPr>
          <w:p w:rsidR="00E443CD" w:rsidRPr="00E443CD" w:rsidRDefault="00E443CD" w:rsidP="00E443C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4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 расхода топлива на 100км пробега</w:t>
            </w:r>
          </w:p>
        </w:tc>
        <w:tc>
          <w:tcPr>
            <w:tcW w:w="2393" w:type="dxa"/>
          </w:tcPr>
          <w:p w:rsidR="00E443CD" w:rsidRPr="00E443CD" w:rsidRDefault="00E443CD" w:rsidP="00E443C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литр горюче-смазочного материала</w:t>
            </w:r>
          </w:p>
        </w:tc>
        <w:tc>
          <w:tcPr>
            <w:tcW w:w="2393" w:type="dxa"/>
          </w:tcPr>
          <w:p w:rsidR="00E443CD" w:rsidRPr="00E443CD" w:rsidRDefault="00E443CD" w:rsidP="00E443C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рабочих дней использования транспортного средства</w:t>
            </w:r>
          </w:p>
        </w:tc>
        <w:tc>
          <w:tcPr>
            <w:tcW w:w="2393" w:type="dxa"/>
          </w:tcPr>
          <w:p w:rsidR="00E443CD" w:rsidRPr="00E443CD" w:rsidRDefault="00E443CD" w:rsidP="00E443CD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E443CD" w:rsidRPr="00E443CD" w:rsidTr="00E443CD">
        <w:trPr>
          <w:jc w:val="center"/>
        </w:trPr>
        <w:tc>
          <w:tcPr>
            <w:tcW w:w="2392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ГСМ 33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60000,00</w:t>
            </w:r>
          </w:p>
        </w:tc>
      </w:tr>
      <w:tr w:rsidR="00E443CD" w:rsidRPr="00E443CD" w:rsidTr="00E443CD">
        <w:trPr>
          <w:jc w:val="center"/>
        </w:trPr>
        <w:tc>
          <w:tcPr>
            <w:tcW w:w="2392" w:type="dxa"/>
          </w:tcPr>
          <w:p w:rsidR="00E443CD" w:rsidRPr="00E443CD" w:rsidRDefault="00E443CD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E443CD" w:rsidRPr="00E443CD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</w:tr>
    </w:tbl>
    <w:p w:rsidR="00E443CD" w:rsidRPr="00E443CD" w:rsidRDefault="00E443CD" w:rsidP="00E443CD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49C6" w:rsidRDefault="00C953F9" w:rsidP="003F711F">
      <w:pPr>
        <w:pStyle w:val="a5"/>
        <w:numPr>
          <w:ilvl w:val="1"/>
          <w:numId w:val="1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23E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запасных частей для транспортных средств</w:t>
      </w:r>
    </w:p>
    <w:p w:rsidR="00E23E87" w:rsidRPr="00E23E87" w:rsidRDefault="00E23E87" w:rsidP="00E23E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4613"/>
        <w:gridCol w:w="4583"/>
      </w:tblGrid>
      <w:tr w:rsidR="00E23E87" w:rsidRPr="00E23E87" w:rsidTr="00E23E87">
        <w:tc>
          <w:tcPr>
            <w:tcW w:w="4785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3E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3E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E23E87" w:rsidRPr="00E23E87" w:rsidTr="00E23E87">
        <w:tc>
          <w:tcPr>
            <w:tcW w:w="4785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E23E87" w:rsidRPr="00E23E87" w:rsidRDefault="00C54DD8" w:rsidP="00E23E87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20000,00</w:t>
            </w:r>
          </w:p>
        </w:tc>
      </w:tr>
    </w:tbl>
    <w:p w:rsidR="00C953F9" w:rsidRPr="00C953F9" w:rsidRDefault="00C953F9" w:rsidP="00C953F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47708" w:rsidRPr="00E23E87" w:rsidRDefault="00247708" w:rsidP="00247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3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  <w:r w:rsidR="00C52008" w:rsidRPr="00E23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E23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E23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247708" w:rsidRPr="00E23E87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708" w:rsidRPr="003F711F" w:rsidRDefault="00247708" w:rsidP="00DB62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DB62D1" w:rsidRPr="003F711F" w:rsidRDefault="00DB62D1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36810" w:rsidRPr="003F711F" w:rsidRDefault="00E23E87" w:rsidP="003F711F">
      <w:pPr>
        <w:pStyle w:val="a5"/>
        <w:numPr>
          <w:ilvl w:val="1"/>
          <w:numId w:val="16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F71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E23E87" w:rsidRPr="003F711F" w:rsidRDefault="00E23E87" w:rsidP="00E23E87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73"/>
        <w:gridCol w:w="3060"/>
      </w:tblGrid>
      <w:tr w:rsidR="00E23E87" w:rsidRPr="00E23E87" w:rsidTr="00E23E87">
        <w:tc>
          <w:tcPr>
            <w:tcW w:w="3190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3E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3190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3E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обучения 1 работника, рублей</w:t>
            </w:r>
          </w:p>
        </w:tc>
        <w:tc>
          <w:tcPr>
            <w:tcW w:w="3191" w:type="dxa"/>
          </w:tcPr>
          <w:p w:rsidR="00E23E87" w:rsidRPr="00E23E87" w:rsidRDefault="00E23E87" w:rsidP="00E23E87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23E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E23E87" w:rsidRPr="00E23E87" w:rsidTr="00E23E87">
        <w:tc>
          <w:tcPr>
            <w:tcW w:w="3190" w:type="dxa"/>
          </w:tcPr>
          <w:p w:rsidR="00E23E87" w:rsidRPr="00E23E87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E23E87" w:rsidRPr="00E23E87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3191" w:type="dxa"/>
          </w:tcPr>
          <w:p w:rsidR="00E23E87" w:rsidRPr="00E23E87" w:rsidRDefault="00C54DD8" w:rsidP="00C54DD8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16000,00</w:t>
            </w:r>
          </w:p>
        </w:tc>
      </w:tr>
    </w:tbl>
    <w:p w:rsidR="00E23E87" w:rsidRPr="00E23E87" w:rsidRDefault="00E23E87" w:rsidP="00E23E87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6810" w:rsidRPr="00E23E87" w:rsidRDefault="00536810" w:rsidP="00536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2F6" w:rsidRPr="00EF19BA" w:rsidRDefault="004052F6" w:rsidP="00932C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052F6" w:rsidRPr="00EF19BA" w:rsidRDefault="004052F6" w:rsidP="00932C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052F6" w:rsidRPr="00EF19BA" w:rsidRDefault="004052F6" w:rsidP="00932C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052F6" w:rsidRPr="00EF19BA" w:rsidRDefault="004052F6" w:rsidP="00932C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052F6" w:rsidRPr="00EF19BA" w:rsidRDefault="004052F6" w:rsidP="00932C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932C5A" w:rsidRPr="00EF19BA" w:rsidRDefault="00932C5A" w:rsidP="00932C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A25882" w:rsidRPr="00EF19BA" w:rsidRDefault="00932C5A" w:rsidP="00372E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F19B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Pr="00EF19B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</w:p>
    <w:sectPr w:rsidR="00A25882" w:rsidRPr="00EF19BA" w:rsidSect="00C54DD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5EA"/>
    <w:multiLevelType w:val="multilevel"/>
    <w:tmpl w:val="51C0A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36BF7"/>
    <w:multiLevelType w:val="multilevel"/>
    <w:tmpl w:val="5E82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278B9"/>
    <w:multiLevelType w:val="multilevel"/>
    <w:tmpl w:val="31B8C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943EE8"/>
    <w:multiLevelType w:val="multilevel"/>
    <w:tmpl w:val="064E43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2B4BBE"/>
    <w:multiLevelType w:val="multilevel"/>
    <w:tmpl w:val="F60CF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ED0434"/>
    <w:multiLevelType w:val="multilevel"/>
    <w:tmpl w:val="CBF625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4C6233"/>
    <w:multiLevelType w:val="multilevel"/>
    <w:tmpl w:val="36D880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DC4A77"/>
    <w:multiLevelType w:val="multilevel"/>
    <w:tmpl w:val="019293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7F0AF7"/>
    <w:multiLevelType w:val="multilevel"/>
    <w:tmpl w:val="BDECAA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">
    <w:nsid w:val="38EA3094"/>
    <w:multiLevelType w:val="multilevel"/>
    <w:tmpl w:val="B7BEA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8B78EB"/>
    <w:multiLevelType w:val="multilevel"/>
    <w:tmpl w:val="3ED28D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011F29"/>
    <w:multiLevelType w:val="multilevel"/>
    <w:tmpl w:val="5D6EC6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1F7113"/>
    <w:multiLevelType w:val="hybridMultilevel"/>
    <w:tmpl w:val="4C28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1DE0"/>
    <w:multiLevelType w:val="multilevel"/>
    <w:tmpl w:val="87DC6C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393C65"/>
    <w:multiLevelType w:val="multilevel"/>
    <w:tmpl w:val="78223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CF07E5"/>
    <w:multiLevelType w:val="multilevel"/>
    <w:tmpl w:val="3C284A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8E"/>
    <w:rsid w:val="00096270"/>
    <w:rsid w:val="00122CFA"/>
    <w:rsid w:val="00187CDC"/>
    <w:rsid w:val="00230B06"/>
    <w:rsid w:val="00247708"/>
    <w:rsid w:val="00305CD5"/>
    <w:rsid w:val="00372E71"/>
    <w:rsid w:val="003A7F2D"/>
    <w:rsid w:val="003C71BA"/>
    <w:rsid w:val="003F2755"/>
    <w:rsid w:val="003F711F"/>
    <w:rsid w:val="004052F6"/>
    <w:rsid w:val="00445CD3"/>
    <w:rsid w:val="00465014"/>
    <w:rsid w:val="004957CA"/>
    <w:rsid w:val="004B6A1F"/>
    <w:rsid w:val="004C1ED4"/>
    <w:rsid w:val="004C5C58"/>
    <w:rsid w:val="005074F9"/>
    <w:rsid w:val="00536810"/>
    <w:rsid w:val="005443E6"/>
    <w:rsid w:val="005A2B8E"/>
    <w:rsid w:val="00612A4D"/>
    <w:rsid w:val="006317E2"/>
    <w:rsid w:val="006C17D7"/>
    <w:rsid w:val="006F37B4"/>
    <w:rsid w:val="00782240"/>
    <w:rsid w:val="008242EE"/>
    <w:rsid w:val="00871AD6"/>
    <w:rsid w:val="00932C5A"/>
    <w:rsid w:val="00953825"/>
    <w:rsid w:val="00993D6E"/>
    <w:rsid w:val="00A25882"/>
    <w:rsid w:val="00A959AD"/>
    <w:rsid w:val="00AA5A20"/>
    <w:rsid w:val="00AB1D9C"/>
    <w:rsid w:val="00AB49C6"/>
    <w:rsid w:val="00B63561"/>
    <w:rsid w:val="00C43B4A"/>
    <w:rsid w:val="00C52008"/>
    <w:rsid w:val="00C54DD8"/>
    <w:rsid w:val="00C735BA"/>
    <w:rsid w:val="00C953F9"/>
    <w:rsid w:val="00DB62D1"/>
    <w:rsid w:val="00DC6996"/>
    <w:rsid w:val="00E23E87"/>
    <w:rsid w:val="00E32704"/>
    <w:rsid w:val="00E443CD"/>
    <w:rsid w:val="00EF19BA"/>
    <w:rsid w:val="00F04DCF"/>
    <w:rsid w:val="00F222C8"/>
    <w:rsid w:val="00F5523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C5A"/>
  </w:style>
  <w:style w:type="paragraph" w:styleId="a3">
    <w:name w:val="No Spacing"/>
    <w:uiPriority w:val="1"/>
    <w:qFormat/>
    <w:rsid w:val="00932C5A"/>
    <w:pPr>
      <w:spacing w:after="0" w:line="240" w:lineRule="auto"/>
    </w:pPr>
  </w:style>
  <w:style w:type="table" w:styleId="a4">
    <w:name w:val="Table Grid"/>
    <w:basedOn w:val="a1"/>
    <w:uiPriority w:val="59"/>
    <w:rsid w:val="0093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4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C5A"/>
  </w:style>
  <w:style w:type="paragraph" w:styleId="a3">
    <w:name w:val="No Spacing"/>
    <w:uiPriority w:val="1"/>
    <w:qFormat/>
    <w:rsid w:val="00932C5A"/>
    <w:pPr>
      <w:spacing w:after="0" w:line="240" w:lineRule="auto"/>
    </w:pPr>
  </w:style>
  <w:style w:type="table" w:styleId="a4">
    <w:name w:val="Table Grid"/>
    <w:basedOn w:val="a1"/>
    <w:uiPriority w:val="59"/>
    <w:rsid w:val="0093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4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1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607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5621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2306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8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CC97-015E-4835-928B-F4A40829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Большесельское УСЗН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Генадиевна</dc:creator>
  <cp:keywords/>
  <dc:description/>
  <cp:lastModifiedBy>Иванова Екатерина Генадиевна</cp:lastModifiedBy>
  <cp:revision>27</cp:revision>
  <cp:lastPrinted>2016-07-18T12:49:00Z</cp:lastPrinted>
  <dcterms:created xsi:type="dcterms:W3CDTF">2016-06-28T10:28:00Z</dcterms:created>
  <dcterms:modified xsi:type="dcterms:W3CDTF">2016-07-19T12:58:00Z</dcterms:modified>
</cp:coreProperties>
</file>