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82" w:rsidRPr="00562584" w:rsidRDefault="00F9212C" w:rsidP="00F9212C">
      <w:pPr>
        <w:ind w:firstLine="0"/>
        <w:jc w:val="center"/>
        <w:rPr>
          <w:b/>
        </w:rPr>
      </w:pPr>
      <w:bookmarkStart w:id="0" w:name="_GoBack"/>
      <w:r w:rsidRPr="00562584">
        <w:rPr>
          <w:b/>
        </w:rPr>
        <w:t xml:space="preserve">Основные положения </w:t>
      </w:r>
    </w:p>
    <w:p w:rsidR="00562584" w:rsidRDefault="00F9212C" w:rsidP="00F9212C">
      <w:pPr>
        <w:ind w:firstLine="0"/>
        <w:jc w:val="center"/>
      </w:pPr>
      <w:r w:rsidRPr="009F2A2F">
        <w:t>Учетной поли</w:t>
      </w:r>
      <w:r w:rsidR="00377782">
        <w:t>тики</w:t>
      </w:r>
    </w:p>
    <w:p w:rsidR="00F9212C" w:rsidRPr="009F2A2F" w:rsidRDefault="00377782" w:rsidP="00F9212C">
      <w:pPr>
        <w:ind w:firstLine="0"/>
        <w:jc w:val="center"/>
      </w:pPr>
      <w:r>
        <w:t xml:space="preserve">  Администрации Большесельского муниципального района , утверждённой Распоряжением</w:t>
      </w:r>
      <w:r w:rsidR="00F9212C" w:rsidRPr="009F2A2F">
        <w:t xml:space="preserve"> от 2</w:t>
      </w:r>
      <w:r w:rsidR="00F9212C">
        <w:t>8</w:t>
      </w:r>
      <w:r w:rsidR="00F9212C" w:rsidRPr="009F2A2F">
        <w:t xml:space="preserve">.12.2018 № </w:t>
      </w:r>
      <w:r>
        <w:t>162-р</w:t>
      </w:r>
    </w:p>
    <w:p w:rsidR="00F9212C" w:rsidRPr="009F2A2F" w:rsidRDefault="00F9212C" w:rsidP="00F9212C"/>
    <w:p w:rsidR="00F9212C" w:rsidRPr="009F2A2F" w:rsidRDefault="00F9212C" w:rsidP="00F9212C">
      <w:pPr>
        <w:pStyle w:val="21"/>
        <w:keepNext/>
        <w:keepLines/>
        <w:shd w:val="clear" w:color="auto" w:fill="auto"/>
        <w:tabs>
          <w:tab w:val="left" w:pos="3335"/>
        </w:tabs>
        <w:spacing w:after="0" w:line="240" w:lineRule="auto"/>
        <w:jc w:val="center"/>
      </w:pPr>
      <w:r w:rsidRPr="009F2A2F">
        <w:t>1. Организационный раздел</w:t>
      </w:r>
    </w:p>
    <w:p w:rsidR="00F9212C" w:rsidRPr="009F2A2F" w:rsidRDefault="00F9212C" w:rsidP="00F9212C">
      <w:pPr>
        <w:pStyle w:val="21"/>
        <w:keepNext/>
        <w:keepLines/>
        <w:shd w:val="clear" w:color="auto" w:fill="auto"/>
        <w:tabs>
          <w:tab w:val="left" w:pos="3335"/>
        </w:tabs>
        <w:spacing w:after="0" w:line="240" w:lineRule="auto"/>
        <w:jc w:val="center"/>
      </w:pP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1.1. Ведение бухгалтерского учета исполнения бюджетной сметы учр</w:t>
      </w:r>
      <w:r w:rsidR="00377782">
        <w:rPr>
          <w:sz w:val="28"/>
          <w:szCs w:val="28"/>
        </w:rPr>
        <w:t>еждения возложить на отдел бухгалтерского учета и отчетности Администрации Большесельского муниципального района</w:t>
      </w:r>
      <w:r w:rsidRPr="009F2A2F">
        <w:rPr>
          <w:sz w:val="28"/>
          <w:szCs w:val="28"/>
        </w:rPr>
        <w:t xml:space="preserve">. Деятельность </w:t>
      </w:r>
      <w:r w:rsidR="00377782">
        <w:rPr>
          <w:sz w:val="28"/>
          <w:szCs w:val="28"/>
        </w:rPr>
        <w:t>отдела регламентирована</w:t>
      </w:r>
      <w:r w:rsidRPr="009F2A2F">
        <w:rPr>
          <w:sz w:val="28"/>
          <w:szCs w:val="28"/>
        </w:rPr>
        <w:t xml:space="preserve"> положением об отделе и должностными инструкциями сотрудников отдела.</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1.2. В целях организации и ведения бухгалтерского учета в Рабочем плане счетов применять следующие коды вида финансового обеспечения (деятельности):</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1 - деятельность, осуществл</w:t>
      </w:r>
      <w:r w:rsidR="00377782">
        <w:rPr>
          <w:sz w:val="28"/>
          <w:szCs w:val="28"/>
        </w:rPr>
        <w:t>яемая за счет средств местного</w:t>
      </w:r>
      <w:r w:rsidRPr="009F2A2F">
        <w:rPr>
          <w:sz w:val="28"/>
          <w:szCs w:val="28"/>
        </w:rPr>
        <w:t xml:space="preserve"> бюджета (бюджетная деятельность);</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3 - средства во временном распоряжении;</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Утвердить Рабочий план счетов бухгалтерского учета согласно приложению</w:t>
      </w:r>
      <w:r w:rsidRPr="009F2A2F">
        <w:rPr>
          <w:sz w:val="28"/>
          <w:szCs w:val="28"/>
          <w:lang w:val="en-US"/>
        </w:rPr>
        <w:t> </w:t>
      </w:r>
      <w:r w:rsidRPr="009F2A2F">
        <w:rPr>
          <w:sz w:val="28"/>
          <w:szCs w:val="28"/>
        </w:rPr>
        <w:t>1 к Учётной политике.</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При оформлении фактов хозяйственной жизни, по которым не предусмотрены унифицированные формы первичных учетных документов, утверждённые приказом Министерства финансов Российской Федерации от 30.03.2015 № 52н, приме</w:t>
      </w:r>
      <w:r w:rsidR="00377782">
        <w:rPr>
          <w:sz w:val="28"/>
          <w:szCs w:val="28"/>
        </w:rPr>
        <w:t>нять формы согласно приложению  №</w:t>
      </w:r>
      <w:r w:rsidR="00086A61">
        <w:rPr>
          <w:sz w:val="28"/>
          <w:szCs w:val="28"/>
        </w:rPr>
        <w:t>2</w:t>
      </w:r>
      <w:r w:rsidRPr="009F2A2F">
        <w:rPr>
          <w:sz w:val="28"/>
          <w:szCs w:val="28"/>
        </w:rPr>
        <w:t xml:space="preserve"> к Учетной политике.</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1.3. Первичные учетные документы на бумажном носите</w:t>
      </w:r>
      <w:r w:rsidR="00E54AE6">
        <w:rPr>
          <w:sz w:val="28"/>
          <w:szCs w:val="28"/>
        </w:rPr>
        <w:t>ле предоставляются в отдел бухгалтерского учета и отчетности</w:t>
      </w:r>
      <w:r w:rsidRPr="009F2A2F">
        <w:rPr>
          <w:sz w:val="28"/>
          <w:szCs w:val="28"/>
        </w:rPr>
        <w:t xml:space="preserve"> согласно порядку взаимодействия лиц, ответственных за оформление фактов хозяйственной жизни по предоставлению первичных учетных документов для ведения бухгалтерского учета</w:t>
      </w:r>
      <w:r w:rsidR="00E54AE6">
        <w:rPr>
          <w:sz w:val="28"/>
          <w:szCs w:val="28"/>
        </w:rPr>
        <w:t>, в соответствии с приложением №</w:t>
      </w:r>
      <w:r w:rsidR="00086A61">
        <w:rPr>
          <w:sz w:val="28"/>
          <w:szCs w:val="28"/>
        </w:rPr>
        <w:t>3</w:t>
      </w:r>
      <w:r w:rsidRPr="009F2A2F">
        <w:rPr>
          <w:sz w:val="28"/>
          <w:szCs w:val="28"/>
        </w:rPr>
        <w:t xml:space="preserve"> к Учетной политике.</w:t>
      </w:r>
    </w:p>
    <w:p w:rsidR="00F9212C" w:rsidRPr="009F2A2F" w:rsidRDefault="00F9212C" w:rsidP="00F9212C">
      <w:pPr>
        <w:pStyle w:val="2"/>
        <w:shd w:val="clear" w:color="auto" w:fill="auto"/>
        <w:tabs>
          <w:tab w:val="center" w:pos="6662"/>
          <w:tab w:val="right" w:pos="8873"/>
        </w:tabs>
        <w:spacing w:before="0" w:after="0" w:line="240" w:lineRule="auto"/>
        <w:ind w:firstLine="709"/>
        <w:rPr>
          <w:sz w:val="28"/>
          <w:szCs w:val="28"/>
        </w:rPr>
      </w:pPr>
      <w:r w:rsidRPr="009F2A2F">
        <w:rPr>
          <w:sz w:val="28"/>
          <w:szCs w:val="28"/>
        </w:rPr>
        <w:t>1.4. Учет по исполнению бюджетной сметы учреждения вести с использованием программных продуктов: АС</w:t>
      </w:r>
      <w:r w:rsidR="00E54AE6">
        <w:rPr>
          <w:sz w:val="28"/>
          <w:szCs w:val="28"/>
        </w:rPr>
        <w:tab/>
        <w:t xml:space="preserve"> «Планирование», АС «Бюджет», 1-С Бухгалтерия</w:t>
      </w:r>
      <w:r w:rsidRPr="009F2A2F">
        <w:rPr>
          <w:sz w:val="28"/>
          <w:szCs w:val="28"/>
        </w:rPr>
        <w:t>, РКИС «</w:t>
      </w:r>
      <w:proofErr w:type="spellStart"/>
      <w:r w:rsidRPr="009F2A2F">
        <w:rPr>
          <w:sz w:val="28"/>
          <w:szCs w:val="28"/>
        </w:rPr>
        <w:t>Госуслуги</w:t>
      </w:r>
      <w:proofErr w:type="spellEnd"/>
      <w:r w:rsidRPr="009F2A2F">
        <w:rPr>
          <w:sz w:val="28"/>
          <w:szCs w:val="28"/>
        </w:rPr>
        <w:t>», ГИС «Государственные закупки Ярославской области».</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1.8. Расчеты с подотчетными лицами осуществлять с учетом следующих особенностей:</w:t>
      </w:r>
    </w:p>
    <w:p w:rsidR="00F9212C" w:rsidRPr="009F2A2F" w:rsidRDefault="00F9212C" w:rsidP="00F9212C">
      <w:pPr>
        <w:pStyle w:val="2"/>
        <w:numPr>
          <w:ilvl w:val="0"/>
          <w:numId w:val="1"/>
        </w:numPr>
        <w:shd w:val="clear" w:color="auto" w:fill="auto"/>
        <w:spacing w:before="0" w:after="0" w:line="240" w:lineRule="auto"/>
        <w:ind w:firstLine="709"/>
        <w:rPr>
          <w:sz w:val="28"/>
          <w:szCs w:val="28"/>
        </w:rPr>
      </w:pPr>
      <w:r w:rsidRPr="009F2A2F">
        <w:rPr>
          <w:sz w:val="28"/>
          <w:szCs w:val="28"/>
        </w:rPr>
        <w:t xml:space="preserve"> осуществлять выдачу подотчетных сумм на хозяйственные и командировочные расходы на основании заявлений на выдачу аванса путем перечисления денежных средств на лицевые счета карт сотрудников;</w:t>
      </w:r>
    </w:p>
    <w:p w:rsidR="00F9212C" w:rsidRPr="009F2A2F" w:rsidRDefault="00F9212C" w:rsidP="00F9212C">
      <w:pPr>
        <w:pStyle w:val="2"/>
        <w:numPr>
          <w:ilvl w:val="0"/>
          <w:numId w:val="1"/>
        </w:numPr>
        <w:shd w:val="clear" w:color="auto" w:fill="auto"/>
        <w:spacing w:before="0" w:after="0" w:line="240" w:lineRule="auto"/>
        <w:ind w:firstLine="709"/>
        <w:rPr>
          <w:sz w:val="28"/>
          <w:szCs w:val="28"/>
        </w:rPr>
      </w:pPr>
      <w:r w:rsidRPr="009F2A2F">
        <w:rPr>
          <w:sz w:val="28"/>
          <w:szCs w:val="28"/>
        </w:rPr>
        <w:t xml:space="preserve"> выдавать материально ответственным лицам подотчетные суммы на хозяйственные расходы в пределах не более 10</w:t>
      </w:r>
      <w:r w:rsidR="00086A61">
        <w:rPr>
          <w:sz w:val="28"/>
          <w:szCs w:val="28"/>
        </w:rPr>
        <w:t>0</w:t>
      </w:r>
      <w:r w:rsidRPr="009F2A2F">
        <w:rPr>
          <w:sz w:val="28"/>
          <w:szCs w:val="28"/>
        </w:rPr>
        <w:t> 000 рублей на срок не более десяти дней;</w:t>
      </w:r>
    </w:p>
    <w:p w:rsidR="00F9212C" w:rsidRPr="009F2A2F" w:rsidRDefault="00F9212C" w:rsidP="00F9212C">
      <w:pPr>
        <w:pStyle w:val="2"/>
        <w:numPr>
          <w:ilvl w:val="0"/>
          <w:numId w:val="1"/>
        </w:numPr>
        <w:shd w:val="clear" w:color="auto" w:fill="auto"/>
        <w:spacing w:before="0" w:after="0" w:line="240" w:lineRule="auto"/>
        <w:ind w:firstLine="709"/>
        <w:rPr>
          <w:sz w:val="28"/>
          <w:szCs w:val="28"/>
        </w:rPr>
      </w:pPr>
      <w:r w:rsidRPr="009F2A2F">
        <w:rPr>
          <w:sz w:val="28"/>
          <w:szCs w:val="28"/>
        </w:rPr>
        <w:t xml:space="preserve"> установить сроки использования доверенностей на получение товарно-материальных ценностей десять дней со сроком отчетности по ним </w:t>
      </w:r>
      <w:r w:rsidRPr="009F2A2F">
        <w:rPr>
          <w:sz w:val="28"/>
          <w:szCs w:val="28"/>
        </w:rPr>
        <w:lastRenderedPageBreak/>
        <w:t>три дня;</w:t>
      </w:r>
    </w:p>
    <w:p w:rsidR="00F9212C" w:rsidRPr="009F2A2F" w:rsidRDefault="00F9212C" w:rsidP="00F9212C">
      <w:pPr>
        <w:pStyle w:val="2"/>
        <w:numPr>
          <w:ilvl w:val="0"/>
          <w:numId w:val="1"/>
        </w:numPr>
        <w:shd w:val="clear" w:color="auto" w:fill="auto"/>
        <w:spacing w:before="0" w:after="0" w:line="240" w:lineRule="auto"/>
        <w:ind w:firstLine="709"/>
        <w:rPr>
          <w:sz w:val="28"/>
          <w:szCs w:val="28"/>
        </w:rPr>
      </w:pPr>
      <w:r w:rsidRPr="009F2A2F">
        <w:rPr>
          <w:sz w:val="28"/>
          <w:szCs w:val="28"/>
        </w:rPr>
        <w:t>оформлять служебные разъезды в течение одного рабочего дня (месяца) Маршрутным листом.</w:t>
      </w:r>
    </w:p>
    <w:p w:rsidR="00F9212C" w:rsidRPr="009F2A2F" w:rsidRDefault="00F9212C" w:rsidP="00F9212C">
      <w:r w:rsidRPr="009F2A2F">
        <w:t>1.11. Для принятия нефинансовых активов к учёту, безвозмездной передачи, списания и определения справедливой стоимости создать постоянно действующую комиссию по поступлению и выбытию нефинансовых активов</w:t>
      </w:r>
    </w:p>
    <w:p w:rsidR="00F9212C" w:rsidRPr="009F2A2F" w:rsidRDefault="00F9212C" w:rsidP="00F9212C">
      <w:r w:rsidRPr="009F2A2F">
        <w:t>1.12. Создать для проведения инвентаризации активов и обязательств постоянно действующую инвентаризационную комиссию.</w:t>
      </w:r>
    </w:p>
    <w:p w:rsidR="00F9212C" w:rsidRPr="009F2A2F" w:rsidRDefault="00F9212C" w:rsidP="00F9212C"/>
    <w:p w:rsidR="00F9212C" w:rsidRPr="009F2A2F" w:rsidRDefault="00F9212C" w:rsidP="00F9212C">
      <w:pPr>
        <w:pStyle w:val="21"/>
        <w:keepNext/>
        <w:keepLines/>
        <w:shd w:val="clear" w:color="auto" w:fill="auto"/>
        <w:spacing w:after="0" w:line="240" w:lineRule="auto"/>
        <w:jc w:val="center"/>
      </w:pPr>
      <w:r w:rsidRPr="009F2A2F">
        <w:t>2. Методический раздел</w:t>
      </w:r>
    </w:p>
    <w:p w:rsidR="00F9212C" w:rsidRPr="009F2A2F" w:rsidRDefault="00F9212C" w:rsidP="00F9212C">
      <w:pPr>
        <w:pStyle w:val="21"/>
        <w:keepNext/>
        <w:keepLines/>
        <w:shd w:val="clear" w:color="auto" w:fill="auto"/>
        <w:spacing w:after="0" w:line="240" w:lineRule="auto"/>
        <w:jc w:val="center"/>
      </w:pPr>
    </w:p>
    <w:p w:rsidR="00F9212C" w:rsidRPr="009F2A2F" w:rsidRDefault="00F9212C" w:rsidP="00F9212C">
      <w:pPr>
        <w:pStyle w:val="2"/>
        <w:shd w:val="clear" w:color="auto" w:fill="auto"/>
        <w:tabs>
          <w:tab w:val="left" w:pos="1273"/>
        </w:tabs>
        <w:spacing w:before="0" w:after="0" w:line="240" w:lineRule="auto"/>
        <w:ind w:firstLine="709"/>
        <w:rPr>
          <w:sz w:val="28"/>
          <w:szCs w:val="28"/>
        </w:rPr>
      </w:pPr>
      <w:r w:rsidRPr="009F2A2F">
        <w:rPr>
          <w:sz w:val="28"/>
          <w:szCs w:val="28"/>
        </w:rPr>
        <w:t>2.1. Особенности учета нефинансовых активов:</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 xml:space="preserve">Структуру инвентарного номера объекта основных средств определять на основании утвержденных рекомендаций Методологического совета по бюджетному учету при Губернаторе области (информационные письма департамента финансов области от 14.01.2010 № 05-2-16/78, от 30.06.2011 </w:t>
      </w:r>
      <w:r w:rsidRPr="009F2A2F">
        <w:rPr>
          <w:sz w:val="28"/>
          <w:szCs w:val="28"/>
        </w:rPr>
        <w:br/>
        <w:t>№ 33-1820/11) из семи разрядов:</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- 1 разряд - код вида деятельности (вид финансового обеспечения),</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- 2-3 разряд - код аналитического счета (аналитический код счета) единого плана счетов,</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- 4-7 разряд - порядковый инвентарный номер.</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При отражении операций текущего финансового года, а также при формировании остатков на начало года в 5-17 разрядах номера счета по счетам аналитического учета 1 101 00 000, 1 104 00 000, 1 105 00 000 отражать нули.</w:t>
      </w:r>
    </w:p>
    <w:p w:rsidR="00F9212C" w:rsidRPr="009F2A2F" w:rsidRDefault="00F9212C" w:rsidP="00F9212C">
      <w:pPr>
        <w:tabs>
          <w:tab w:val="left" w:pos="2410"/>
        </w:tabs>
        <w:jc w:val="both"/>
      </w:pPr>
      <w:r w:rsidRPr="009F2A2F">
        <w:t>Начисление амортизации объектов основных средств производить линейным методом.</w:t>
      </w:r>
    </w:p>
    <w:p w:rsidR="00F9212C" w:rsidRPr="009F2A2F" w:rsidRDefault="00F9212C" w:rsidP="00F9212C">
      <w:pPr>
        <w:tabs>
          <w:tab w:val="left" w:pos="2410"/>
        </w:tabs>
        <w:jc w:val="both"/>
      </w:pPr>
      <w:r w:rsidRPr="009F2A2F">
        <w:t>Для определения справедливой стоимости различных видов активов и обязательств использовать метод рыночных цен.</w:t>
      </w:r>
    </w:p>
    <w:p w:rsidR="00F9212C" w:rsidRPr="009F2A2F" w:rsidRDefault="00F9212C" w:rsidP="00F9212C">
      <w:pPr>
        <w:tabs>
          <w:tab w:val="left" w:pos="2410"/>
        </w:tabs>
        <w:jc w:val="both"/>
        <w:rPr>
          <w:spacing w:val="-2"/>
          <w:lang w:eastAsia="ru-RU"/>
        </w:rPr>
      </w:pPr>
      <w:r w:rsidRPr="009F2A2F">
        <w:rPr>
          <w:spacing w:val="-2"/>
          <w:lang w:eastAsia="ru-RU"/>
        </w:rPr>
        <w:t>В случае если определение справедливой стоимости активов, полученных в безвозмездное пользование в рамках применения СГС «Аренда» по каким-либо причинам является невозможным, то в соответствии с пунктом 25 Инструкции 157н такие активы отражать в условной оценке 1 объект – 1 рубль.</w:t>
      </w:r>
    </w:p>
    <w:p w:rsidR="00F9212C" w:rsidRPr="009F2A2F" w:rsidRDefault="00F9212C" w:rsidP="00F9212C">
      <w:pPr>
        <w:jc w:val="both"/>
        <w:rPr>
          <w:lang w:eastAsia="ru-RU"/>
        </w:rPr>
      </w:pPr>
      <w:r w:rsidRPr="009F2A2F">
        <w:rPr>
          <w:lang w:eastAsia="ru-RU"/>
        </w:rPr>
        <w:t xml:space="preserve">Учет основных средств на </w:t>
      </w:r>
      <w:proofErr w:type="spellStart"/>
      <w:r w:rsidRPr="009F2A2F">
        <w:rPr>
          <w:lang w:eastAsia="ru-RU"/>
        </w:rPr>
        <w:t>забалансовом</w:t>
      </w:r>
      <w:proofErr w:type="spellEnd"/>
      <w:r w:rsidRPr="009F2A2F">
        <w:rPr>
          <w:lang w:eastAsia="ru-RU"/>
        </w:rPr>
        <w:t xml:space="preserve"> счете 21 «Основные средства в эксплуатации» вести по балансовой стоимости объекта. </w:t>
      </w:r>
    </w:p>
    <w:p w:rsidR="00F9212C" w:rsidRPr="009F2A2F" w:rsidRDefault="00F9212C" w:rsidP="00F9212C">
      <w:pPr>
        <w:jc w:val="both"/>
        <w:rPr>
          <w:lang w:eastAsia="ru-RU"/>
        </w:rPr>
      </w:pPr>
      <w:r w:rsidRPr="009F2A2F">
        <w:t xml:space="preserve">На </w:t>
      </w:r>
      <w:proofErr w:type="spellStart"/>
      <w:r w:rsidRPr="009F2A2F">
        <w:t>забалансовом</w:t>
      </w:r>
      <w:proofErr w:type="spellEnd"/>
      <w:r w:rsidRPr="009F2A2F">
        <w:t xml:space="preserve"> счете 02 «</w:t>
      </w:r>
      <w:r w:rsidRPr="009F2A2F">
        <w:rPr>
          <w:color w:val="000000"/>
        </w:rPr>
        <w:t xml:space="preserve">Материальные ценности на хранении» </w:t>
      </w:r>
      <w:r w:rsidRPr="009F2A2F">
        <w:rPr>
          <w:lang w:eastAsia="ru-RU"/>
        </w:rPr>
        <w:t>материальные ценности при нулевой остаточной стоимости учитывать в условной оценке один объект, один рубль.</w:t>
      </w:r>
    </w:p>
    <w:p w:rsidR="00F9212C" w:rsidRPr="009F2A2F" w:rsidRDefault="00F9212C" w:rsidP="00F9212C">
      <w:pPr>
        <w:jc w:val="both"/>
        <w:rPr>
          <w:lang w:eastAsia="ru-RU"/>
        </w:rPr>
      </w:pPr>
      <w:r w:rsidRPr="009F2A2F">
        <w:t>Учет выданного в пользование имущества, относящегося к основным средствам, вести</w:t>
      </w:r>
      <w:r w:rsidRPr="009F2A2F">
        <w:rPr>
          <w:lang w:eastAsia="ru-RU"/>
        </w:rPr>
        <w:t xml:space="preserve"> на основании утвержденных рекомендаций Методологического совета по бюджетному учету при Правительстве области (информационное письмо департамента финансов области от 13.12.2018 </w:t>
      </w:r>
      <w:r w:rsidRPr="009F2A2F">
        <w:rPr>
          <w:lang w:eastAsia="ru-RU"/>
        </w:rPr>
        <w:br/>
        <w:t xml:space="preserve">№ ИХ.33-5214/18). В целях обеспечения управленческого учета объектов </w:t>
      </w:r>
      <w:r w:rsidRPr="009F2A2F">
        <w:rPr>
          <w:lang w:eastAsia="ru-RU"/>
        </w:rPr>
        <w:lastRenderedPageBreak/>
        <w:t xml:space="preserve">основных средств, выданных в пользование, ввести </w:t>
      </w:r>
      <w:proofErr w:type="spellStart"/>
      <w:r w:rsidRPr="009F2A2F">
        <w:rPr>
          <w:lang w:eastAsia="ru-RU"/>
        </w:rPr>
        <w:t>забалансовый</w:t>
      </w:r>
      <w:proofErr w:type="spellEnd"/>
      <w:r w:rsidRPr="009F2A2F">
        <w:rPr>
          <w:lang w:eastAsia="ru-RU"/>
        </w:rPr>
        <w:t xml:space="preserve"> счет 50 «Основные средства, выданные в личное пользование».</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 xml:space="preserve">Установку (замену) запасных частей в компьютерной и офисной технике оформлять Актом установки (замены) запасных частей </w:t>
      </w:r>
      <w:r w:rsidRPr="009F2A2F">
        <w:rPr>
          <w:sz w:val="28"/>
          <w:szCs w:val="28"/>
          <w:lang w:eastAsia="ru-RU"/>
        </w:rPr>
        <w:t>(по форме согласно приложению 2 к Учетной политике)</w:t>
      </w:r>
      <w:r w:rsidRPr="009F2A2F">
        <w:rPr>
          <w:sz w:val="28"/>
          <w:szCs w:val="28"/>
        </w:rPr>
        <w:t>.</w:t>
      </w:r>
    </w:p>
    <w:p w:rsidR="00F9212C" w:rsidRPr="009F2A2F" w:rsidRDefault="00F9212C" w:rsidP="00F9212C">
      <w:pPr>
        <w:contextualSpacing/>
        <w:jc w:val="both"/>
      </w:pPr>
      <w:r w:rsidRPr="009F2A2F">
        <w:rPr>
          <w:lang w:eastAsia="ru-RU"/>
        </w:rPr>
        <w:t xml:space="preserve">Затраты по замене составных частей, в т. ч. ходе капитального </w:t>
      </w:r>
      <w:proofErr w:type="spellStart"/>
      <w:r w:rsidRPr="009F2A2F">
        <w:rPr>
          <w:lang w:eastAsia="ru-RU"/>
        </w:rPr>
        <w:t>ремонта,включать</w:t>
      </w:r>
      <w:proofErr w:type="spellEnd"/>
      <w:r w:rsidRPr="009F2A2F">
        <w:rPr>
          <w:lang w:eastAsia="ru-RU"/>
        </w:rPr>
        <w:t xml:space="preserve"> в стоимость объекта в момент их возникновения, уменьшая стоимость объекта на стоимость заменяемых (</w:t>
      </w:r>
      <w:proofErr w:type="spellStart"/>
      <w:r w:rsidRPr="009F2A2F">
        <w:rPr>
          <w:lang w:eastAsia="ru-RU"/>
        </w:rPr>
        <w:t>выбываемых</w:t>
      </w:r>
      <w:proofErr w:type="spellEnd"/>
      <w:r w:rsidRPr="009F2A2F">
        <w:rPr>
          <w:lang w:eastAsia="ru-RU"/>
        </w:rPr>
        <w:t>) частей,</w:t>
      </w:r>
      <w:r w:rsidRPr="009F2A2F">
        <w:t xml:space="preserve"> в следующих группах основных средств: машины и оборудование.</w:t>
      </w:r>
    </w:p>
    <w:p w:rsidR="00F9212C" w:rsidRPr="009F2A2F" w:rsidRDefault="00F9212C" w:rsidP="00F9212C">
      <w:pPr>
        <w:contextualSpacing/>
        <w:jc w:val="both"/>
      </w:pPr>
      <w:r w:rsidRPr="009F2A2F">
        <w:t>Для учета материальных ценностей, приобретенных при отсутствии документов поставщика, использовать приходный ордер.</w:t>
      </w:r>
    </w:p>
    <w:p w:rsidR="00F9212C" w:rsidRPr="009F2A2F" w:rsidRDefault="00F9212C" w:rsidP="00F9212C">
      <w:pPr>
        <w:pStyle w:val="2"/>
        <w:shd w:val="clear" w:color="auto" w:fill="auto"/>
        <w:spacing w:before="0" w:after="0" w:line="240" w:lineRule="auto"/>
        <w:ind w:firstLine="709"/>
        <w:rPr>
          <w:rFonts w:eastAsia="Calibri"/>
          <w:sz w:val="28"/>
          <w:szCs w:val="28"/>
        </w:rPr>
      </w:pPr>
      <w:r w:rsidRPr="009F2A2F">
        <w:rPr>
          <w:rFonts w:eastAsia="Calibri"/>
          <w:sz w:val="28"/>
          <w:szCs w:val="28"/>
        </w:rPr>
        <w:t>При приобретении, безвозмездной передаче, продаже объектов нефинансовых активов применять Акт о приеме-передаче объектов нефинансовых активов (ф. 0504101).</w:t>
      </w:r>
    </w:p>
    <w:p w:rsidR="00F9212C" w:rsidRPr="009F2A2F" w:rsidRDefault="00F9212C" w:rsidP="00F9212C">
      <w:pPr>
        <w:pStyle w:val="2"/>
        <w:shd w:val="clear" w:color="auto" w:fill="auto"/>
        <w:spacing w:before="0" w:after="0" w:line="240" w:lineRule="auto"/>
        <w:ind w:firstLine="709"/>
        <w:rPr>
          <w:color w:val="000000"/>
          <w:sz w:val="28"/>
          <w:szCs w:val="28"/>
        </w:rPr>
      </w:pPr>
      <w:r w:rsidRPr="009F2A2F">
        <w:rPr>
          <w:sz w:val="28"/>
          <w:szCs w:val="28"/>
          <w:lang w:eastAsia="ru-RU"/>
        </w:rPr>
        <w:t xml:space="preserve">При выбытии (списании) объектов основных средств, в том числе в случаях признания объекта не соответствующим критериям актива, применять </w:t>
      </w:r>
      <w:r w:rsidRPr="009F2A2F">
        <w:rPr>
          <w:color w:val="000000"/>
          <w:sz w:val="28"/>
          <w:szCs w:val="28"/>
        </w:rPr>
        <w:t>Акт о списании объектов нефинансовых активов (кроме транспортных средств) (ф. 0504104).</w:t>
      </w:r>
    </w:p>
    <w:p w:rsidR="00F9212C" w:rsidRPr="009F2A2F" w:rsidRDefault="00F9212C" w:rsidP="00F9212C">
      <w:pPr>
        <w:jc w:val="both"/>
        <w:rPr>
          <w:i/>
          <w:lang w:eastAsia="ru-RU"/>
        </w:rPr>
      </w:pPr>
      <w:r w:rsidRPr="009F2A2F">
        <w:rPr>
          <w:lang w:eastAsia="ru-RU"/>
        </w:rPr>
        <w:t>При переоценке (в том числе при отчуждении объектов основных средств не в пользу организаций государственного сектора) объекта основных средств сумма накопленной на дату переоценки амортизации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Списание материальных запасов производить по средней фактической стоимости по группе материальных запасов.</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 xml:space="preserve">В качестве первичного учетного документа при отражении операций по объектам учета аренды (в т. ч. при изменении их стоимости, </w:t>
      </w:r>
      <w:proofErr w:type="spellStart"/>
      <w:r w:rsidRPr="009F2A2F">
        <w:rPr>
          <w:sz w:val="28"/>
          <w:szCs w:val="28"/>
        </w:rPr>
        <w:t>реклассификации</w:t>
      </w:r>
      <w:proofErr w:type="spellEnd"/>
      <w:r w:rsidRPr="009F2A2F">
        <w:rPr>
          <w:sz w:val="28"/>
          <w:szCs w:val="28"/>
        </w:rPr>
        <w:t>, досрочном расторжении договоров) использовать бухгалтерскую справку (ф.0504833).</w:t>
      </w:r>
    </w:p>
    <w:p w:rsidR="00F9212C" w:rsidRPr="009F2A2F" w:rsidRDefault="00F9212C" w:rsidP="00F9212C">
      <w:pPr>
        <w:jc w:val="both"/>
      </w:pPr>
      <w:r w:rsidRPr="009F2A2F">
        <w:rPr>
          <w:lang w:eastAsia="ru-RU"/>
        </w:rPr>
        <w:t xml:space="preserve">2.2. К бланкам строгой отчетности относить: </w:t>
      </w:r>
      <w:r w:rsidRPr="009F2A2F">
        <w:t>относить бланки трудовых книжек и вкладышей</w:t>
      </w:r>
      <w:r w:rsidRPr="009F2A2F">
        <w:rPr>
          <w:lang w:eastAsia="ru-RU"/>
        </w:rPr>
        <w:t xml:space="preserve"> и учитывать их по стоимости приобретения бланков.</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2.3. Начисление заработной платы осуществлять на основании «Табеля учета рабочего времени» (ф.0504421), который вести методом отклонений от нормального использования рабочего времени.</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2.4. Учет пени и штрафов, связанных с несвоевременными расчетами по платежам в бюджеты, вести на счетах аналитического учета, открытых к счету 1 303 00 000, по соответствующим видам платежей.</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2.5. Формировать ежегодно резервы предстоящих расходов на:</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 оплату отпусков за фактически отработанное время,</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 оплату обязательств по предъявленным претензиям.</w:t>
      </w:r>
    </w:p>
    <w:p w:rsidR="00F9212C" w:rsidRPr="009F2A2F" w:rsidRDefault="00F9212C" w:rsidP="00F9212C">
      <w:pPr>
        <w:jc w:val="both"/>
        <w:rPr>
          <w:color w:val="000000"/>
          <w:lang w:eastAsia="ru-RU"/>
        </w:rPr>
      </w:pPr>
      <w:r w:rsidRPr="009F2A2F">
        <w:rPr>
          <w:lang w:eastAsia="ru-RU"/>
        </w:rPr>
        <w:t xml:space="preserve">Сумму расходов на оплату предстоящих отпусков определять ежегодно по учреждению последним рабочим днем исходя из общего </w:t>
      </w:r>
      <w:r w:rsidRPr="009F2A2F">
        <w:rPr>
          <w:color w:val="000000"/>
          <w:lang w:eastAsia="ru-RU"/>
        </w:rPr>
        <w:t xml:space="preserve">количества не использованных всеми сотрудниками дней отпуска за период с начала </w:t>
      </w:r>
      <w:r w:rsidRPr="009F2A2F">
        <w:rPr>
          <w:color w:val="000000"/>
          <w:lang w:eastAsia="ru-RU"/>
        </w:rPr>
        <w:lastRenderedPageBreak/>
        <w:t>работы на дату расчета и средней заработной платы по всем сотрудникам учреждения в целом.</w:t>
      </w:r>
    </w:p>
    <w:p w:rsidR="00F9212C" w:rsidRPr="009F2A2F" w:rsidRDefault="00F9212C" w:rsidP="00F9212C">
      <w:pPr>
        <w:autoSpaceDE w:val="0"/>
        <w:autoSpaceDN w:val="0"/>
        <w:adjustRightInd w:val="0"/>
        <w:jc w:val="both"/>
        <w:rPr>
          <w:color w:val="000000"/>
          <w:lang w:eastAsia="ru-RU"/>
        </w:rPr>
      </w:pPr>
      <w:r w:rsidRPr="009F2A2F">
        <w:rPr>
          <w:lang w:eastAsia="ru-RU"/>
        </w:rPr>
        <w:t xml:space="preserve">Сумму страховых взносов при формировании резерва отпусков начислять ежегодно исходя из общей суммы расходов на оплату предстоящих отпусков и </w:t>
      </w:r>
      <w:r w:rsidRPr="009F2A2F">
        <w:rPr>
          <w:color w:val="000000"/>
          <w:lang w:eastAsia="ru-RU"/>
        </w:rPr>
        <w:t>ставки страховых взносов.</w:t>
      </w:r>
    </w:p>
    <w:p w:rsidR="00F9212C" w:rsidRPr="009F2A2F" w:rsidRDefault="00F9212C" w:rsidP="00F9212C">
      <w:pPr>
        <w:jc w:val="both"/>
        <w:rPr>
          <w:rFonts w:eastAsia="Calibri"/>
        </w:rPr>
      </w:pPr>
      <w:r w:rsidRPr="009F2A2F">
        <w:rPr>
          <w:lang w:eastAsia="ru-RU"/>
        </w:rPr>
        <w:t>Списание начисленных резервов предстоящих расходов на оплату отпусков осуществлять ежемесячно.</w:t>
      </w:r>
    </w:p>
    <w:p w:rsidR="00F9212C" w:rsidRPr="009F2A2F" w:rsidRDefault="00F9212C" w:rsidP="00F9212C">
      <w:pPr>
        <w:jc w:val="both"/>
        <w:rPr>
          <w:rFonts w:eastAsia="Calibri"/>
        </w:rPr>
      </w:pPr>
      <w:r w:rsidRPr="009F2A2F">
        <w:rPr>
          <w:rFonts w:eastAsia="Calibri"/>
        </w:rPr>
        <w:t>2.6. В составе расходов будущих периодов отражать расходы по- приобретению неисключительного права пользования нематериальными активами в течение нескольких отчетных периодов.</w:t>
      </w:r>
    </w:p>
    <w:p w:rsidR="00F9212C" w:rsidRPr="009F2A2F" w:rsidRDefault="00F9212C" w:rsidP="00F9212C">
      <w:pPr>
        <w:jc w:val="both"/>
      </w:pPr>
      <w:r w:rsidRPr="009F2A2F">
        <w:rPr>
          <w:rFonts w:eastAsia="Calibri"/>
        </w:rPr>
        <w:t>Р</w:t>
      </w:r>
      <w:r w:rsidRPr="009F2A2F">
        <w:t>асходы будущих периодов признаются расходами текущего финансового года ежемесячно в течение периода, к которому они относятся.</w:t>
      </w:r>
    </w:p>
    <w:p w:rsidR="00F9212C" w:rsidRPr="009F2A2F" w:rsidRDefault="00F9212C" w:rsidP="00F9212C">
      <w:pPr>
        <w:jc w:val="both"/>
        <w:rPr>
          <w:spacing w:val="-2"/>
        </w:rPr>
      </w:pPr>
      <w:r w:rsidRPr="009F2A2F">
        <w:rPr>
          <w:spacing w:val="-2"/>
        </w:rPr>
        <w:t xml:space="preserve">Расходы будущих периодов, </w:t>
      </w:r>
      <w:r w:rsidRPr="009F2A2F">
        <w:rPr>
          <w:rFonts w:eastAsia="Calibri"/>
          <w:spacing w:val="-2"/>
        </w:rPr>
        <w:t>содержащиеся в нескольких отчетных периодах,</w:t>
      </w:r>
      <w:r w:rsidRPr="009F2A2F">
        <w:rPr>
          <w:spacing w:val="-2"/>
        </w:rPr>
        <w:t xml:space="preserve"> относить на финансовый результат текущего финансового года, начиная с месяца, следующего за месяцем их принятия к бухгалтерскому учету.</w:t>
      </w:r>
    </w:p>
    <w:p w:rsidR="00F9212C" w:rsidRPr="009F2A2F" w:rsidRDefault="00F9212C" w:rsidP="00F9212C">
      <w:pPr>
        <w:pStyle w:val="2"/>
        <w:shd w:val="clear" w:color="auto" w:fill="auto"/>
        <w:spacing w:before="0" w:after="0" w:line="240" w:lineRule="auto"/>
        <w:ind w:firstLine="709"/>
        <w:rPr>
          <w:spacing w:val="-6"/>
          <w:sz w:val="28"/>
          <w:szCs w:val="28"/>
        </w:rPr>
      </w:pPr>
      <w:r w:rsidRPr="009F2A2F">
        <w:rPr>
          <w:spacing w:val="-6"/>
          <w:sz w:val="28"/>
          <w:szCs w:val="28"/>
        </w:rPr>
        <w:t>В соответствии со статьей 1235 Гражданского кодекса Российской Федерации установить срок использования простой (неисключительной) лицензии на программное обеспечение, полученное в пользование бессрочно, – 5 лет.</w:t>
      </w:r>
    </w:p>
    <w:p w:rsidR="00F9212C" w:rsidRPr="009F2A2F" w:rsidRDefault="00F9212C" w:rsidP="00F9212C">
      <w:pPr>
        <w:jc w:val="both"/>
      </w:pPr>
      <w:r w:rsidRPr="009F2A2F">
        <w:t>2.9. Журналы операций составлять с учетом следующих особенностей:</w:t>
      </w:r>
    </w:p>
    <w:p w:rsidR="00F9212C" w:rsidRPr="009F2A2F" w:rsidRDefault="00F9212C" w:rsidP="00F9212C">
      <w:pPr>
        <w:jc w:val="both"/>
      </w:pPr>
      <w:r w:rsidRPr="009F2A2F">
        <w:t>Журналы операций с безналичными расчетами в разрезе лицевых счетов,</w:t>
      </w:r>
    </w:p>
    <w:p w:rsidR="00F9212C" w:rsidRPr="009F2A2F" w:rsidRDefault="00F9212C" w:rsidP="00F9212C">
      <w:pPr>
        <w:jc w:val="both"/>
        <w:rPr>
          <w:strike/>
        </w:rPr>
      </w:pPr>
      <w:r w:rsidRPr="009F2A2F">
        <w:t>Журнал операций расчетов с подотчетными лицами  с группировкой  по подотчетным лицам,</w:t>
      </w:r>
    </w:p>
    <w:p w:rsidR="00F9212C" w:rsidRPr="009F2A2F" w:rsidRDefault="00F9212C" w:rsidP="00F9212C">
      <w:pPr>
        <w:pStyle w:val="2"/>
        <w:shd w:val="clear" w:color="auto" w:fill="auto"/>
        <w:spacing w:before="0" w:after="0" w:line="240" w:lineRule="auto"/>
        <w:ind w:firstLine="709"/>
        <w:rPr>
          <w:sz w:val="28"/>
          <w:szCs w:val="28"/>
        </w:rPr>
      </w:pPr>
      <w:r w:rsidRPr="009F2A2F">
        <w:rPr>
          <w:sz w:val="28"/>
          <w:szCs w:val="28"/>
        </w:rPr>
        <w:t>Журнал операций расчетов с поставщиками и подрядчиками с группировкой по контрагентам.</w:t>
      </w:r>
    </w:p>
    <w:p w:rsidR="00F9212C" w:rsidRPr="009F2A2F" w:rsidRDefault="00F9212C" w:rsidP="00F9212C">
      <w:pPr>
        <w:jc w:val="both"/>
      </w:pPr>
      <w:r w:rsidRPr="009F2A2F">
        <w:t>2.10. Особенности ведения налогового учёта:</w:t>
      </w:r>
    </w:p>
    <w:p w:rsidR="00F9212C" w:rsidRPr="009F2A2F" w:rsidRDefault="00F9212C" w:rsidP="00F9212C">
      <w:pPr>
        <w:jc w:val="both"/>
      </w:pPr>
      <w:r w:rsidRPr="009F2A2F">
        <w:t>2.10.1. Учёт расчетов по НДФЛ вести на основании налоговой карточки по учёту доходов и налога на доходы физических лиц по форме № 7 согласно приложению 2 к Учетной политике.</w:t>
      </w:r>
    </w:p>
    <w:p w:rsidR="00F9212C" w:rsidRPr="009F2A2F" w:rsidRDefault="00F9212C" w:rsidP="00F9212C">
      <w:pPr>
        <w:jc w:val="both"/>
      </w:pPr>
      <w:r w:rsidRPr="009F2A2F">
        <w:t>Стандартные налоговые вычеты при осуществлении выплат по разным статьям бюджетной классификации относить к наибольшей сумме выплат.</w:t>
      </w:r>
    </w:p>
    <w:p w:rsidR="00F9212C" w:rsidRPr="009F2A2F" w:rsidRDefault="00F9212C" w:rsidP="00F9212C">
      <w:pPr>
        <w:autoSpaceDE w:val="0"/>
        <w:autoSpaceDN w:val="0"/>
        <w:adjustRightInd w:val="0"/>
        <w:jc w:val="both"/>
      </w:pPr>
      <w:r w:rsidRPr="009F2A2F">
        <w:t>2.10.2. Учёт сумм начисленных выплат работникам, а также сумм страховых взносов в государственные внебюджетные фонды по каждому физическому лицу, в пользу которого осуществлялись выплаты, вести в карточке индивидуального учета сумм начисленных выплат, иных вознаграждений, страховых взносов по форме № 8 согласно приложению 2 к Учетной политике.</w:t>
      </w:r>
    </w:p>
    <w:p w:rsidR="00F9212C" w:rsidRPr="009F2A2F" w:rsidRDefault="00F9212C" w:rsidP="00F9212C">
      <w:pPr>
        <w:jc w:val="both"/>
      </w:pPr>
      <w:r w:rsidRPr="009F2A2F">
        <w:t>2.10.3. Начисление налога на прибыль отражать последним числом отчетного периода на основании расчета и оформлять бухгалтерской справкой (</w:t>
      </w:r>
      <w:r w:rsidRPr="009F2A2F">
        <w:rPr>
          <w:lang w:eastAsia="ru-RU"/>
        </w:rPr>
        <w:t>ф.0504833</w:t>
      </w:r>
      <w:r w:rsidRPr="009F2A2F">
        <w:t>).</w:t>
      </w:r>
    </w:p>
    <w:bookmarkEnd w:id="0"/>
    <w:p w:rsidR="00F9212C" w:rsidRDefault="00F9212C" w:rsidP="00F9212C"/>
    <w:sectPr w:rsidR="00F9212C" w:rsidSect="00DE7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97EA0"/>
    <w:multiLevelType w:val="multilevel"/>
    <w:tmpl w:val="450C4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F2A2F"/>
    <w:rsid w:val="00013989"/>
    <w:rsid w:val="00086A61"/>
    <w:rsid w:val="000A5CB6"/>
    <w:rsid w:val="00103CA0"/>
    <w:rsid w:val="00117558"/>
    <w:rsid w:val="0018498A"/>
    <w:rsid w:val="001861BF"/>
    <w:rsid w:val="001F2F3C"/>
    <w:rsid w:val="002B6305"/>
    <w:rsid w:val="002D67C4"/>
    <w:rsid w:val="0034099F"/>
    <w:rsid w:val="00377782"/>
    <w:rsid w:val="003844BA"/>
    <w:rsid w:val="00384961"/>
    <w:rsid w:val="003A2E3A"/>
    <w:rsid w:val="003B4332"/>
    <w:rsid w:val="0043222E"/>
    <w:rsid w:val="00477D28"/>
    <w:rsid w:val="00480B6F"/>
    <w:rsid w:val="004A34E6"/>
    <w:rsid w:val="004B61E6"/>
    <w:rsid w:val="004C67E4"/>
    <w:rsid w:val="004D4116"/>
    <w:rsid w:val="004E0FDA"/>
    <w:rsid w:val="00513F5A"/>
    <w:rsid w:val="0053207C"/>
    <w:rsid w:val="005538FE"/>
    <w:rsid w:val="00562584"/>
    <w:rsid w:val="005830B0"/>
    <w:rsid w:val="005C1DB6"/>
    <w:rsid w:val="005E1519"/>
    <w:rsid w:val="00635005"/>
    <w:rsid w:val="00676357"/>
    <w:rsid w:val="006B7052"/>
    <w:rsid w:val="006D2497"/>
    <w:rsid w:val="00701E0C"/>
    <w:rsid w:val="00717A8A"/>
    <w:rsid w:val="00753868"/>
    <w:rsid w:val="00757B86"/>
    <w:rsid w:val="007B42D1"/>
    <w:rsid w:val="007D17DF"/>
    <w:rsid w:val="007E58A1"/>
    <w:rsid w:val="007F6612"/>
    <w:rsid w:val="00803A7F"/>
    <w:rsid w:val="0084300B"/>
    <w:rsid w:val="00843CAF"/>
    <w:rsid w:val="008615FA"/>
    <w:rsid w:val="00882EFE"/>
    <w:rsid w:val="008D1BC9"/>
    <w:rsid w:val="008E2EF0"/>
    <w:rsid w:val="00953A4C"/>
    <w:rsid w:val="009639A8"/>
    <w:rsid w:val="00994897"/>
    <w:rsid w:val="00996ADC"/>
    <w:rsid w:val="009A5BBF"/>
    <w:rsid w:val="009B1CD6"/>
    <w:rsid w:val="009E665D"/>
    <w:rsid w:val="009F2A2F"/>
    <w:rsid w:val="009F7160"/>
    <w:rsid w:val="00A10C13"/>
    <w:rsid w:val="00A54665"/>
    <w:rsid w:val="00A735A7"/>
    <w:rsid w:val="00B0094D"/>
    <w:rsid w:val="00B852FC"/>
    <w:rsid w:val="00BA41B2"/>
    <w:rsid w:val="00BB5F7F"/>
    <w:rsid w:val="00BE1F2F"/>
    <w:rsid w:val="00C22A44"/>
    <w:rsid w:val="00CA03D0"/>
    <w:rsid w:val="00CF4ABE"/>
    <w:rsid w:val="00D201AE"/>
    <w:rsid w:val="00D61540"/>
    <w:rsid w:val="00D85D7D"/>
    <w:rsid w:val="00D97590"/>
    <w:rsid w:val="00DB542B"/>
    <w:rsid w:val="00DE74B8"/>
    <w:rsid w:val="00E54AE6"/>
    <w:rsid w:val="00E75373"/>
    <w:rsid w:val="00E9598E"/>
    <w:rsid w:val="00F02B16"/>
    <w:rsid w:val="00F225CB"/>
    <w:rsid w:val="00F9212C"/>
    <w:rsid w:val="00FD3625"/>
    <w:rsid w:val="00FE7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F2A2F"/>
    <w:rPr>
      <w:rFonts w:eastAsia="Times New Roman"/>
      <w:sz w:val="26"/>
      <w:szCs w:val="26"/>
      <w:shd w:val="clear" w:color="auto" w:fill="FFFFFF"/>
    </w:rPr>
  </w:style>
  <w:style w:type="paragraph" w:customStyle="1" w:styleId="2">
    <w:name w:val="Основной текст2"/>
    <w:basedOn w:val="a"/>
    <w:link w:val="a3"/>
    <w:rsid w:val="009F2A2F"/>
    <w:pPr>
      <w:widowControl w:val="0"/>
      <w:shd w:val="clear" w:color="auto" w:fill="FFFFFF"/>
      <w:spacing w:before="60" w:after="60" w:line="0" w:lineRule="atLeast"/>
      <w:ind w:firstLine="0"/>
      <w:jc w:val="both"/>
    </w:pPr>
    <w:rPr>
      <w:rFonts w:eastAsia="Times New Roman"/>
      <w:sz w:val="26"/>
      <w:szCs w:val="26"/>
    </w:rPr>
  </w:style>
  <w:style w:type="character" w:customStyle="1" w:styleId="20">
    <w:name w:val="Заголовок №2_"/>
    <w:basedOn w:val="a0"/>
    <w:link w:val="21"/>
    <w:rsid w:val="009F2A2F"/>
    <w:rPr>
      <w:rFonts w:eastAsia="Times New Roman"/>
      <w:b/>
      <w:bCs/>
      <w:shd w:val="clear" w:color="auto" w:fill="FFFFFF"/>
    </w:rPr>
  </w:style>
  <w:style w:type="paragraph" w:customStyle="1" w:styleId="21">
    <w:name w:val="Заголовок №2"/>
    <w:basedOn w:val="a"/>
    <w:link w:val="20"/>
    <w:rsid w:val="009F2A2F"/>
    <w:pPr>
      <w:widowControl w:val="0"/>
      <w:shd w:val="clear" w:color="auto" w:fill="FFFFFF"/>
      <w:spacing w:after="360" w:line="0" w:lineRule="atLeast"/>
      <w:ind w:firstLine="0"/>
      <w:jc w:val="both"/>
      <w:outlineLvl w:val="1"/>
    </w:pPr>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F2A2F"/>
    <w:rPr>
      <w:rFonts w:eastAsia="Times New Roman"/>
      <w:sz w:val="26"/>
      <w:szCs w:val="26"/>
      <w:shd w:val="clear" w:color="auto" w:fill="FFFFFF"/>
    </w:rPr>
  </w:style>
  <w:style w:type="paragraph" w:customStyle="1" w:styleId="2">
    <w:name w:val="Основной текст2"/>
    <w:basedOn w:val="a"/>
    <w:link w:val="a3"/>
    <w:rsid w:val="009F2A2F"/>
    <w:pPr>
      <w:widowControl w:val="0"/>
      <w:shd w:val="clear" w:color="auto" w:fill="FFFFFF"/>
      <w:spacing w:before="60" w:after="60" w:line="0" w:lineRule="atLeast"/>
      <w:ind w:firstLine="0"/>
      <w:jc w:val="both"/>
    </w:pPr>
    <w:rPr>
      <w:rFonts w:eastAsia="Times New Roman"/>
      <w:sz w:val="26"/>
      <w:szCs w:val="26"/>
    </w:rPr>
  </w:style>
  <w:style w:type="character" w:customStyle="1" w:styleId="20">
    <w:name w:val="Заголовок №2_"/>
    <w:basedOn w:val="a0"/>
    <w:link w:val="21"/>
    <w:rsid w:val="009F2A2F"/>
    <w:rPr>
      <w:rFonts w:eastAsia="Times New Roman"/>
      <w:b/>
      <w:bCs/>
      <w:shd w:val="clear" w:color="auto" w:fill="FFFFFF"/>
    </w:rPr>
  </w:style>
  <w:style w:type="paragraph" w:customStyle="1" w:styleId="21">
    <w:name w:val="Заголовок №2"/>
    <w:basedOn w:val="a"/>
    <w:link w:val="20"/>
    <w:rsid w:val="009F2A2F"/>
    <w:pPr>
      <w:widowControl w:val="0"/>
      <w:shd w:val="clear" w:color="auto" w:fill="FFFFFF"/>
      <w:spacing w:after="360" w:line="0" w:lineRule="atLeast"/>
      <w:ind w:firstLine="0"/>
      <w:jc w:val="both"/>
      <w:outlineLvl w:val="1"/>
    </w:pPr>
    <w:rPr>
      <w:rFonts w:eastAsia="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0084435803ACA46B2AA2A993C41ED16" ma:contentTypeVersion="3" ma:contentTypeDescription="Создание документа." ma:contentTypeScope="" ma:versionID="632cb42ecb9271d60c29961acd27c39c">
  <xsd:schema xmlns:xsd="http://www.w3.org/2001/XMLSchema" xmlns:xs="http://www.w3.org/2001/XMLSchema" xmlns:p="http://schemas.microsoft.com/office/2006/metadata/properties" xmlns:ns2="bc26a301-ec1f-49cb-ac95-8115032739fb" targetNamespace="http://schemas.microsoft.com/office/2006/metadata/properties" ma:root="true" ma:fieldsID="43e52b54988fa3cc5180196da74efccb" ns2:_="">
    <xsd:import namespace="bc26a301-ec1f-49cb-ac95-8115032739fb"/>
    <xsd:element name="properties">
      <xsd:complexType>
        <xsd:sequence>
          <xsd:element name="documentManagement">
            <xsd:complexType>
              <xsd:all>
                <xsd:element ref="ns2:DocDate" minOccurs="0"/>
                <xsd:element ref="ns2:Desc"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a301-ec1f-49cb-ac95-8115032739fb" elementFormDefault="qualified">
    <xsd:import namespace="http://schemas.microsoft.com/office/2006/documentManagement/types"/>
    <xsd:import namespace="http://schemas.microsoft.com/office/infopath/2007/PartnerControls"/>
    <xsd:element name="DocDate" ma:index="8" nillable="true" ma:displayName="Дата документа" ma:format="DateOnly" ma:internalName="DocDate">
      <xsd:simpleType>
        <xsd:restriction base="dms:DateTime"/>
      </xsd:simpleType>
    </xsd:element>
    <xsd:element name="Desc" ma:index="9" nillable="true" ma:displayName="Описание" ma:internalName="Desc">
      <xsd:simpleType>
        <xsd:restriction base="dms:Note">
          <xsd:maxLength value="255"/>
        </xsd:restriction>
      </xsd:simpleType>
    </xsd:element>
    <xsd:element name="docType" ma:index="10" nillable="true" ma:displayName="Тип документа" ma:list="{7B11EDAB-902C-4F44-BA6B-E67527AA72C4}" ma:internalName="docTyp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Date xmlns="bc26a301-ec1f-49cb-ac95-8115032739fb">2018-12-27T21:00:00+00:00</DocDate>
    <Desc xmlns="bc26a301-ec1f-49cb-ac95-8115032739fb" xsi:nil="true"/>
    <docType xmlns="bc26a301-ec1f-49cb-ac95-8115032739fb">4</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BAA9C-B987-44FF-863F-0AB001CC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a301-ec1f-49cb-ac95-811503273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7908D-1FE6-43EB-AF85-33E98B9957C7}">
  <ds:schemaRefs>
    <ds:schemaRef ds:uri="http://schemas.microsoft.com/office/2006/metadata/properties"/>
    <ds:schemaRef ds:uri="http://schemas.microsoft.com/office/infopath/2007/PartnerControls"/>
    <ds:schemaRef ds:uri="bc26a301-ec1f-49cb-ac95-8115032739fb"/>
  </ds:schemaRefs>
</ds:datastoreItem>
</file>

<file path=customXml/itemProps3.xml><?xml version="1.0" encoding="utf-8"?>
<ds:datastoreItem xmlns:ds="http://schemas.openxmlformats.org/officeDocument/2006/customXml" ds:itemID="{EABE4ED9-6EFE-43AD-8F4C-C6CAF2ABF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положения Учетной политики</dc:title>
  <dc:creator>Багно Андрей Андреевич</dc:creator>
  <cp:lastModifiedBy>Glavbuh</cp:lastModifiedBy>
  <cp:revision>7</cp:revision>
  <cp:lastPrinted>2019-02-25T05:16:00Z</cp:lastPrinted>
  <dcterms:created xsi:type="dcterms:W3CDTF">2019-02-22T09:28:00Z</dcterms:created>
  <dcterms:modified xsi:type="dcterms:W3CDTF">2019-02-25T05:34:00Z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0x01010020084435803ACA46B2AA2A993C41ED16</vt:lpwstr>
  </property>
</Properties>
</file>